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4CDF7" w14:textId="77777777" w:rsidR="004A4D90" w:rsidRDefault="00B26067" w:rsidP="00B26067">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w:t>
      </w:r>
      <w:r w:rsidR="004A4D90">
        <w:rPr>
          <w:rFonts w:ascii="Arial" w:hAnsi="Arial" w:cs="Arial"/>
          <w:b/>
          <w:sz w:val="28"/>
          <w:szCs w:val="28"/>
        </w:rPr>
        <w:t>324</w:t>
      </w:r>
    </w:p>
    <w:p w14:paraId="019B8B15" w14:textId="77777777" w:rsidR="00B26067" w:rsidRPr="00A079D3" w:rsidRDefault="00B26067" w:rsidP="00B26067">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March 16-19, </w:t>
      </w:r>
      <w:r w:rsidRPr="00A079D3">
        <w:rPr>
          <w:rFonts w:ascii="Arial" w:hAnsi="Arial" w:cs="Arial"/>
          <w:b/>
          <w:sz w:val="28"/>
          <w:szCs w:val="28"/>
        </w:rPr>
        <w:t>20</w:t>
      </w:r>
      <w:r>
        <w:rPr>
          <w:rFonts w:ascii="Arial" w:hAnsi="Arial" w:cs="Arial"/>
          <w:b/>
          <w:sz w:val="28"/>
          <w:szCs w:val="28"/>
        </w:rPr>
        <w:t>20</w:t>
      </w:r>
    </w:p>
    <w:p w14:paraId="49C683B7" w14:textId="77777777" w:rsidR="00136C56" w:rsidRPr="00770562" w:rsidRDefault="00136C56" w:rsidP="00136C56">
      <w:pPr>
        <w:pStyle w:val="CRCoverPage"/>
        <w:outlineLvl w:val="0"/>
        <w:rPr>
          <w:rFonts w:ascii="Times New Roman" w:hAnsi="Times New Roman"/>
          <w:b/>
          <w:sz w:val="22"/>
          <w:lang w:val="en-US"/>
        </w:rPr>
      </w:pPr>
    </w:p>
    <w:p w14:paraId="1137B050" w14:textId="0BF1BCD4" w:rsidR="002F37C5" w:rsidRDefault="00E90E49" w:rsidP="00311702">
      <w:pPr>
        <w:pStyle w:val="3GPPHeader"/>
        <w:rPr>
          <w:sz w:val="22"/>
          <w:szCs w:val="22"/>
        </w:rPr>
      </w:pPr>
      <w:r w:rsidRPr="00315C6E">
        <w:rPr>
          <w:sz w:val="22"/>
          <w:szCs w:val="22"/>
        </w:rPr>
        <w:t>Agenda Item:</w:t>
      </w:r>
      <w:r w:rsidRPr="00315C6E">
        <w:rPr>
          <w:sz w:val="22"/>
          <w:szCs w:val="22"/>
        </w:rPr>
        <w:tab/>
      </w:r>
      <w:r w:rsidR="00845BA0">
        <w:rPr>
          <w:sz w:val="22"/>
          <w:szCs w:val="22"/>
        </w:rPr>
        <w:t>9.</w:t>
      </w:r>
      <w:r w:rsidR="008522E5">
        <w:rPr>
          <w:sz w:val="22"/>
          <w:szCs w:val="22"/>
        </w:rPr>
        <w:t>7</w:t>
      </w:r>
    </w:p>
    <w:p w14:paraId="2D2AF385" w14:textId="41132808"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F26798">
        <w:rPr>
          <w:sz w:val="22"/>
          <w:szCs w:val="22"/>
        </w:rPr>
        <w:t xml:space="preserve"> Inc.</w:t>
      </w:r>
    </w:p>
    <w:p w14:paraId="7EEA6B32" w14:textId="645B0FF0" w:rsidR="003F267B" w:rsidRDefault="003D3C45" w:rsidP="00396685">
      <w:pPr>
        <w:pStyle w:val="3GPPHeader"/>
        <w:rPr>
          <w:sz w:val="22"/>
          <w:szCs w:val="22"/>
        </w:rPr>
      </w:pPr>
      <w:r w:rsidRPr="00315C6E">
        <w:rPr>
          <w:sz w:val="22"/>
          <w:szCs w:val="22"/>
        </w:rPr>
        <w:t>Title:</w:t>
      </w:r>
      <w:r w:rsidR="00E90E49" w:rsidRPr="00315C6E">
        <w:rPr>
          <w:sz w:val="22"/>
          <w:szCs w:val="22"/>
        </w:rPr>
        <w:tab/>
      </w:r>
      <w:r w:rsidR="003F267B" w:rsidRPr="003F267B">
        <w:rPr>
          <w:sz w:val="22"/>
          <w:szCs w:val="22"/>
        </w:rPr>
        <w:t>Views on two DRX group</w:t>
      </w:r>
      <w:r w:rsidR="00DA5A1D">
        <w:rPr>
          <w:sz w:val="22"/>
          <w:szCs w:val="22"/>
        </w:rPr>
        <w:t>s</w:t>
      </w:r>
      <w:r w:rsidR="003F267B" w:rsidRPr="003F267B">
        <w:rPr>
          <w:sz w:val="22"/>
          <w:szCs w:val="22"/>
        </w:rPr>
        <w:t xml:space="preserve"> in the same cell group</w:t>
      </w:r>
    </w:p>
    <w:p w14:paraId="4C4FA8C4" w14:textId="51A2BFB9"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3E96BFCD" w14:textId="7245D483" w:rsidR="00342E02" w:rsidRPr="00342E02" w:rsidRDefault="00E90E49" w:rsidP="00342E02">
      <w:pPr>
        <w:pStyle w:val="Heading1"/>
      </w:pPr>
      <w:r w:rsidRPr="00315C6E">
        <w:t>Introduction</w:t>
      </w:r>
    </w:p>
    <w:p w14:paraId="5DAA9044" w14:textId="293DEBC1" w:rsidR="006E1BF3" w:rsidRPr="001C32CA" w:rsidRDefault="006E1BF3" w:rsidP="004A311F">
      <w:pPr>
        <w:rPr>
          <w:rFonts w:eastAsia="MS Mincho"/>
          <w:sz w:val="22"/>
          <w:szCs w:val="22"/>
          <w:lang w:eastAsia="ja-JP"/>
        </w:rPr>
      </w:pPr>
      <w:r w:rsidRPr="001C32CA">
        <w:rPr>
          <w:rFonts w:eastAsia="MS Mincho"/>
          <w:sz w:val="22"/>
          <w:szCs w:val="22"/>
          <w:lang w:eastAsia="ja-JP"/>
        </w:rPr>
        <w:t xml:space="preserve">Current NR only supports single </w:t>
      </w:r>
      <w:r w:rsidR="00D361C0" w:rsidRPr="001C32CA">
        <w:rPr>
          <w:rFonts w:eastAsia="MS Mincho"/>
          <w:sz w:val="22"/>
          <w:szCs w:val="22"/>
          <w:lang w:eastAsia="ja-JP"/>
        </w:rPr>
        <w:t>C</w:t>
      </w:r>
      <w:r w:rsidRPr="001C32CA">
        <w:rPr>
          <w:rFonts w:eastAsia="MS Mincho"/>
          <w:sz w:val="22"/>
          <w:szCs w:val="22"/>
          <w:lang w:eastAsia="ja-JP"/>
        </w:rPr>
        <w:t>DRX configuration for all the cells in a CG (cell group) which follows the LTE legacy. However, on</w:t>
      </w:r>
      <w:r w:rsidR="008977CD" w:rsidRPr="001C32CA">
        <w:rPr>
          <w:rFonts w:eastAsia="MS Mincho"/>
          <w:sz w:val="22"/>
          <w:szCs w:val="22"/>
          <w:lang w:eastAsia="ja-JP"/>
        </w:rPr>
        <w:t>e of the</w:t>
      </w:r>
      <w:r w:rsidRPr="001C32CA">
        <w:rPr>
          <w:rFonts w:eastAsia="MS Mincho"/>
          <w:sz w:val="22"/>
          <w:szCs w:val="22"/>
          <w:lang w:eastAsia="ja-JP"/>
        </w:rPr>
        <w:t xml:space="preserve"> major improvement from NR compared to LTE is the introduction of </w:t>
      </w:r>
      <w:r w:rsidR="006A204F" w:rsidRPr="001C32CA">
        <w:rPr>
          <w:rFonts w:eastAsia="MS Mincho"/>
          <w:sz w:val="22"/>
          <w:szCs w:val="22"/>
          <w:lang w:eastAsia="ja-JP"/>
        </w:rPr>
        <w:t xml:space="preserve">Radio Access designs to </w:t>
      </w:r>
      <w:r w:rsidRPr="001C32CA">
        <w:rPr>
          <w:rFonts w:eastAsia="MS Mincho"/>
          <w:sz w:val="22"/>
          <w:szCs w:val="22"/>
          <w:lang w:eastAsia="ja-JP"/>
        </w:rPr>
        <w:t xml:space="preserve">support mmWave, or FR2, </w:t>
      </w:r>
      <w:r w:rsidR="006A204F" w:rsidRPr="001C32CA">
        <w:rPr>
          <w:rFonts w:eastAsia="MS Mincho"/>
          <w:sz w:val="22"/>
          <w:szCs w:val="22"/>
          <w:lang w:eastAsia="ja-JP"/>
        </w:rPr>
        <w:t xml:space="preserve">deployment </w:t>
      </w:r>
      <w:r w:rsidR="004F2548" w:rsidRPr="001C32CA">
        <w:rPr>
          <w:rFonts w:eastAsia="MS Mincho"/>
          <w:sz w:val="22"/>
          <w:szCs w:val="22"/>
          <w:lang w:eastAsia="ja-JP"/>
        </w:rPr>
        <w:t xml:space="preserve">that </w:t>
      </w:r>
      <w:r w:rsidR="006A204F" w:rsidRPr="001C32CA">
        <w:rPr>
          <w:rFonts w:eastAsia="MS Mincho"/>
          <w:sz w:val="22"/>
          <w:szCs w:val="22"/>
          <w:lang w:eastAsia="ja-JP"/>
        </w:rPr>
        <w:t>allows cellular communication to</w:t>
      </w:r>
      <w:r w:rsidR="00124597" w:rsidRPr="001C32CA">
        <w:rPr>
          <w:rFonts w:eastAsia="MS Mincho"/>
          <w:sz w:val="22"/>
          <w:szCs w:val="22"/>
          <w:lang w:eastAsia="ja-JP"/>
        </w:rPr>
        <w:t xml:space="preserve"> have</w:t>
      </w:r>
      <w:r w:rsidR="006A204F" w:rsidRPr="001C32CA">
        <w:rPr>
          <w:rFonts w:eastAsia="MS Mincho"/>
          <w:sz w:val="22"/>
          <w:szCs w:val="22"/>
          <w:lang w:eastAsia="ja-JP"/>
        </w:rPr>
        <w:t xml:space="preserve"> </w:t>
      </w:r>
      <w:r w:rsidRPr="001C32CA">
        <w:rPr>
          <w:rFonts w:eastAsia="MS Mincho"/>
          <w:sz w:val="22"/>
          <w:szCs w:val="22"/>
          <w:lang w:eastAsia="ja-JP"/>
        </w:rPr>
        <w:t xml:space="preserve">access to spectrum </w:t>
      </w:r>
      <w:r w:rsidR="00690ECC" w:rsidRPr="001C32CA">
        <w:rPr>
          <w:rFonts w:eastAsia="MS Mincho"/>
          <w:sz w:val="22"/>
          <w:szCs w:val="22"/>
          <w:lang w:eastAsia="ja-JP"/>
        </w:rPr>
        <w:t xml:space="preserve">with much wider bandwidth </w:t>
      </w:r>
      <w:r w:rsidRPr="001C32CA">
        <w:rPr>
          <w:rFonts w:eastAsia="MS Mincho"/>
          <w:sz w:val="22"/>
          <w:szCs w:val="22"/>
          <w:lang w:eastAsia="ja-JP"/>
        </w:rPr>
        <w:t xml:space="preserve">at high frequency band. FR2 deployment has at least 2 major challenges, including </w:t>
      </w:r>
    </w:p>
    <w:p w14:paraId="48819246" w14:textId="77777777" w:rsidR="006E1BF3" w:rsidRPr="001C32CA" w:rsidRDefault="006E1BF3" w:rsidP="004A311F">
      <w:pPr>
        <w:rPr>
          <w:rFonts w:eastAsia="MS Mincho"/>
          <w:sz w:val="22"/>
          <w:szCs w:val="22"/>
          <w:lang w:eastAsia="ja-JP"/>
        </w:rPr>
      </w:pPr>
    </w:p>
    <w:p w14:paraId="5614927F" w14:textId="54D153E5" w:rsidR="006E1BF3" w:rsidRPr="001C32CA" w:rsidRDefault="006E1BF3" w:rsidP="006E1BF3">
      <w:pPr>
        <w:pStyle w:val="ListParagraph"/>
        <w:numPr>
          <w:ilvl w:val="0"/>
          <w:numId w:val="35"/>
        </w:numPr>
        <w:rPr>
          <w:rFonts w:ascii="Times New Roman" w:eastAsia="MS Mincho" w:hAnsi="Times New Roman"/>
          <w:lang w:eastAsia="ja-JP"/>
        </w:rPr>
      </w:pPr>
      <w:r w:rsidRPr="001C32CA">
        <w:rPr>
          <w:rFonts w:ascii="Times New Roman" w:eastAsia="MS Mincho" w:hAnsi="Times New Roman"/>
          <w:lang w:eastAsia="ja-JP"/>
        </w:rPr>
        <w:t xml:space="preserve">The coverage </w:t>
      </w:r>
      <w:r w:rsidR="00B663FC" w:rsidRPr="001C32CA">
        <w:rPr>
          <w:rFonts w:ascii="Times New Roman" w:eastAsia="MS Mincho" w:hAnsi="Times New Roman"/>
          <w:lang w:eastAsia="ja-JP"/>
        </w:rPr>
        <w:t>limitation</w:t>
      </w:r>
      <w:r w:rsidRPr="001C32CA">
        <w:rPr>
          <w:rFonts w:ascii="Times New Roman" w:eastAsia="MS Mincho" w:hAnsi="Times New Roman"/>
          <w:lang w:eastAsia="ja-JP"/>
        </w:rPr>
        <w:t xml:space="preserve"> due to the large path loss and penetration loss from high frequency band</w:t>
      </w:r>
    </w:p>
    <w:p w14:paraId="69CEA6E2" w14:textId="77777777" w:rsidR="006E1BF3" w:rsidRPr="001C32CA" w:rsidRDefault="006E1BF3" w:rsidP="006E1BF3">
      <w:pPr>
        <w:pStyle w:val="ListParagraph"/>
        <w:numPr>
          <w:ilvl w:val="0"/>
          <w:numId w:val="35"/>
        </w:numPr>
        <w:rPr>
          <w:rFonts w:ascii="Times New Roman" w:eastAsia="MS Mincho" w:hAnsi="Times New Roman"/>
          <w:lang w:eastAsia="ja-JP"/>
        </w:rPr>
      </w:pPr>
      <w:r w:rsidRPr="001C32CA">
        <w:rPr>
          <w:rFonts w:ascii="Times New Roman" w:eastAsia="MS Mincho" w:hAnsi="Times New Roman"/>
          <w:lang w:eastAsia="ja-JP"/>
        </w:rPr>
        <w:t xml:space="preserve">Power consumption and thermal challenges especially for UE implementation </w:t>
      </w:r>
    </w:p>
    <w:p w14:paraId="3D56AD2A" w14:textId="77777777" w:rsidR="006E1BF3" w:rsidRPr="001C32CA" w:rsidRDefault="006E1BF3" w:rsidP="00B34FA1">
      <w:pPr>
        <w:rPr>
          <w:rFonts w:eastAsia="MS Mincho"/>
          <w:sz w:val="22"/>
          <w:szCs w:val="22"/>
          <w:lang w:eastAsia="ja-JP"/>
        </w:rPr>
      </w:pPr>
    </w:p>
    <w:p w14:paraId="363DDF1A" w14:textId="4BA5A01B" w:rsidR="00590C88" w:rsidRPr="001C32CA" w:rsidRDefault="00590C88" w:rsidP="00B34FA1">
      <w:pPr>
        <w:rPr>
          <w:rFonts w:eastAsia="MS Mincho"/>
          <w:sz w:val="22"/>
          <w:szCs w:val="22"/>
          <w:lang w:eastAsia="ja-JP"/>
        </w:rPr>
      </w:pPr>
      <w:r w:rsidRPr="001C32CA">
        <w:rPr>
          <w:rFonts w:eastAsia="MS Mincho"/>
          <w:sz w:val="22"/>
          <w:szCs w:val="22"/>
          <w:lang w:eastAsia="ja-JP"/>
        </w:rPr>
        <w:t xml:space="preserve">Therefore, to solve the coverage or reliability issue with FR2 communication, it is nature to use FR1 and FR2 CA </w:t>
      </w:r>
      <w:r w:rsidR="00782B00" w:rsidRPr="001C32CA">
        <w:rPr>
          <w:rFonts w:eastAsia="MS Mincho"/>
          <w:sz w:val="22"/>
          <w:szCs w:val="22"/>
          <w:lang w:eastAsia="ja-JP"/>
        </w:rPr>
        <w:t>in which</w:t>
      </w:r>
      <w:r w:rsidRPr="001C32CA">
        <w:rPr>
          <w:rFonts w:eastAsia="MS Mincho"/>
          <w:sz w:val="22"/>
          <w:szCs w:val="22"/>
          <w:lang w:eastAsia="ja-JP"/>
        </w:rPr>
        <w:t xml:space="preserve"> PCell or PSCell resides in FR1 to ensure ubiquitous coverage and robust communication while SCells can be deploy</w:t>
      </w:r>
      <w:r w:rsidR="00966980" w:rsidRPr="001C32CA">
        <w:rPr>
          <w:rFonts w:eastAsia="MS Mincho"/>
          <w:sz w:val="22"/>
          <w:szCs w:val="22"/>
          <w:lang w:eastAsia="ja-JP"/>
        </w:rPr>
        <w:t>ed</w:t>
      </w:r>
      <w:r w:rsidRPr="001C32CA">
        <w:rPr>
          <w:rFonts w:eastAsia="MS Mincho"/>
          <w:sz w:val="22"/>
          <w:szCs w:val="22"/>
          <w:lang w:eastAsia="ja-JP"/>
        </w:rPr>
        <w:t xml:space="preserve"> on FR2 to provide data enhancement </w:t>
      </w:r>
      <w:r w:rsidR="00C44A84">
        <w:rPr>
          <w:rFonts w:eastAsia="MS Mincho"/>
          <w:sz w:val="22"/>
          <w:szCs w:val="22"/>
          <w:lang w:eastAsia="ja-JP"/>
        </w:rPr>
        <w:t xml:space="preserve">layers </w:t>
      </w:r>
      <w:r w:rsidRPr="001C32CA">
        <w:rPr>
          <w:rFonts w:eastAsia="MS Mincho"/>
          <w:sz w:val="22"/>
          <w:szCs w:val="22"/>
          <w:lang w:eastAsia="ja-JP"/>
        </w:rPr>
        <w:t xml:space="preserve">for large amount of data or high peak rate data communication. </w:t>
      </w:r>
    </w:p>
    <w:p w14:paraId="66131137" w14:textId="66AC27A1" w:rsidR="00D361C0" w:rsidRPr="001C32CA" w:rsidRDefault="00D361C0" w:rsidP="00B34FA1">
      <w:pPr>
        <w:rPr>
          <w:rFonts w:eastAsia="MS Mincho"/>
          <w:sz w:val="22"/>
          <w:szCs w:val="22"/>
          <w:lang w:eastAsia="ja-JP"/>
        </w:rPr>
      </w:pPr>
      <w:r w:rsidRPr="001C32CA">
        <w:rPr>
          <w:rFonts w:eastAsia="MS Mincho"/>
          <w:sz w:val="22"/>
          <w:szCs w:val="22"/>
          <w:lang w:eastAsia="ja-JP"/>
        </w:rPr>
        <w:br/>
        <w:t xml:space="preserve">With FR1 and FR2 CA deployment, configuration the same CDRX configuration for cells in FR1 and FR2 is not efficient enough to address the different usage and design challenges between FR1 and FR2, at least in the following areas </w:t>
      </w:r>
    </w:p>
    <w:p w14:paraId="58E50927" w14:textId="659D0CCF" w:rsidR="00D361C0" w:rsidRPr="001C32CA" w:rsidRDefault="00D361C0" w:rsidP="00B34FA1">
      <w:pPr>
        <w:rPr>
          <w:rFonts w:eastAsia="MS Mincho"/>
          <w:sz w:val="22"/>
          <w:szCs w:val="22"/>
          <w:lang w:eastAsia="ja-JP"/>
        </w:rPr>
      </w:pPr>
    </w:p>
    <w:p w14:paraId="24F14A48" w14:textId="27031595" w:rsidR="007D4F65" w:rsidRPr="001C32CA" w:rsidRDefault="007D4F65" w:rsidP="007D4F65">
      <w:pPr>
        <w:pStyle w:val="ListParagraph"/>
        <w:numPr>
          <w:ilvl w:val="0"/>
          <w:numId w:val="36"/>
        </w:numPr>
        <w:rPr>
          <w:rFonts w:ascii="Times New Roman" w:eastAsia="MS Mincho" w:hAnsi="Times New Roman"/>
          <w:lang w:eastAsia="ja-JP"/>
        </w:rPr>
      </w:pPr>
      <w:r w:rsidRPr="001C32CA">
        <w:rPr>
          <w:rFonts w:ascii="Times New Roman" w:eastAsia="MS Mincho" w:hAnsi="Times New Roman"/>
          <w:lang w:eastAsia="ja-JP"/>
        </w:rPr>
        <w:t>FR2 has different power consumption and thermal problem compared to FR1</w:t>
      </w:r>
    </w:p>
    <w:p w14:paraId="0866CD83" w14:textId="77777777" w:rsidR="006634C5" w:rsidRPr="001C32CA" w:rsidRDefault="007D4F65" w:rsidP="007D4F65">
      <w:pPr>
        <w:pStyle w:val="ListParagraph"/>
        <w:numPr>
          <w:ilvl w:val="0"/>
          <w:numId w:val="36"/>
        </w:numPr>
        <w:rPr>
          <w:rFonts w:ascii="Times New Roman" w:eastAsia="MS Mincho" w:hAnsi="Times New Roman"/>
          <w:lang w:eastAsia="ja-JP"/>
        </w:rPr>
      </w:pPr>
      <w:r w:rsidRPr="001C32CA">
        <w:rPr>
          <w:rFonts w:ascii="Times New Roman" w:eastAsia="MS Mincho" w:hAnsi="Times New Roman"/>
          <w:lang w:eastAsia="ja-JP"/>
        </w:rPr>
        <w:t xml:space="preserve">FR2 cells are mainly to handle large amount of data or to achieve high date rate, it can be less "active" than the FR1 cells to maintain reasonable UE power consumption and thermal dissipation </w:t>
      </w:r>
    </w:p>
    <w:p w14:paraId="279815D7" w14:textId="77777777" w:rsidR="006634C5" w:rsidRPr="001C32CA" w:rsidRDefault="006634C5" w:rsidP="00B34FA1">
      <w:pPr>
        <w:rPr>
          <w:rFonts w:eastAsia="MS Mincho"/>
          <w:sz w:val="22"/>
          <w:szCs w:val="22"/>
          <w:lang w:eastAsia="ja-JP"/>
        </w:rPr>
      </w:pPr>
    </w:p>
    <w:p w14:paraId="3A26F736" w14:textId="6C848517" w:rsidR="005E72D9" w:rsidRPr="001C32CA" w:rsidRDefault="006634C5" w:rsidP="00053429">
      <w:pPr>
        <w:rPr>
          <w:rFonts w:eastAsia="MS Mincho"/>
          <w:sz w:val="22"/>
          <w:szCs w:val="22"/>
          <w:lang w:eastAsia="ja-JP"/>
        </w:rPr>
      </w:pPr>
      <w:r w:rsidRPr="001C32CA">
        <w:rPr>
          <w:rFonts w:eastAsia="MS Mincho"/>
          <w:sz w:val="22"/>
          <w:szCs w:val="22"/>
          <w:lang w:eastAsia="ja-JP"/>
        </w:rPr>
        <w:t>As results, as part of TEI, RAN2 is looking at the solution to allow 2 DRX groups for a cell group mainly targeting to support FR1 and FR2 CA. The main use case of 2 DRX groups is for FR1 and FR2 CA in which one DRX group can be configured for FR1 and the other DRX group can be configured for FR2</w:t>
      </w:r>
      <w:r w:rsidR="000A5DD0" w:rsidRPr="001C32CA">
        <w:rPr>
          <w:rFonts w:eastAsia="MS Mincho"/>
          <w:sz w:val="22"/>
          <w:szCs w:val="22"/>
          <w:lang w:eastAsia="ja-JP"/>
        </w:rPr>
        <w:t xml:space="preserve">. Each DRX group can have different DRX related configurations such as short/long DRX cycle, </w:t>
      </w:r>
      <w:r w:rsidR="000A5DD0" w:rsidRPr="001C32CA">
        <w:rPr>
          <w:rFonts w:eastAsia="MS Mincho"/>
          <w:i/>
          <w:iCs/>
          <w:sz w:val="22"/>
          <w:szCs w:val="22"/>
          <w:lang w:eastAsia="ja-JP"/>
        </w:rPr>
        <w:t>drx-InactivityTimer</w:t>
      </w:r>
      <w:r w:rsidR="000A5DD0" w:rsidRPr="001C32CA">
        <w:rPr>
          <w:rFonts w:eastAsia="MS Mincho"/>
          <w:sz w:val="22"/>
          <w:szCs w:val="22"/>
          <w:lang w:eastAsia="ja-JP"/>
        </w:rPr>
        <w:t xml:space="preserve"> and </w:t>
      </w:r>
      <w:r w:rsidR="000A5DD0" w:rsidRPr="001C32CA">
        <w:rPr>
          <w:rFonts w:eastAsia="MS Mincho"/>
          <w:i/>
          <w:iCs/>
          <w:sz w:val="22"/>
          <w:szCs w:val="22"/>
          <w:lang w:eastAsia="ja-JP"/>
        </w:rPr>
        <w:t>drx-onDurationTimer</w:t>
      </w:r>
      <w:r w:rsidR="005E72D9" w:rsidRPr="001C32CA">
        <w:rPr>
          <w:rFonts w:eastAsia="MS Mincho"/>
          <w:sz w:val="22"/>
          <w:szCs w:val="22"/>
          <w:lang w:eastAsia="ja-JP"/>
        </w:rPr>
        <w:t>.</w:t>
      </w:r>
    </w:p>
    <w:p w14:paraId="32F2B6F9" w14:textId="24622C6D" w:rsidR="005E72D9" w:rsidRPr="001C32CA" w:rsidRDefault="005E72D9" w:rsidP="00053429">
      <w:pPr>
        <w:rPr>
          <w:rFonts w:eastAsia="MS Mincho"/>
          <w:sz w:val="22"/>
          <w:szCs w:val="22"/>
          <w:lang w:eastAsia="ja-JP"/>
        </w:rPr>
      </w:pPr>
    </w:p>
    <w:p w14:paraId="2FAAD201" w14:textId="74E1943A" w:rsidR="005E72D9" w:rsidRPr="001C32CA" w:rsidRDefault="005E72D9" w:rsidP="005E72D9">
      <w:pPr>
        <w:jc w:val="both"/>
        <w:rPr>
          <w:sz w:val="22"/>
          <w:szCs w:val="22"/>
        </w:rPr>
      </w:pPr>
      <w:r w:rsidRPr="001C32CA">
        <w:rPr>
          <w:rFonts w:eastAsia="MS Mincho"/>
          <w:sz w:val="22"/>
          <w:szCs w:val="22"/>
          <w:lang w:eastAsia="ja-JP"/>
        </w:rPr>
        <w:t xml:space="preserve">The progress of two DRX groups design in RAN2 is slow due to concerns and unwillingness of some companies to enable this feature. Consequently, RAN2 sent LS to both RAN1 and RAN4 inquiring the impact of this feature on RAN1 and RAN4 in R2-1916597, </w:t>
      </w:r>
      <w:r w:rsidRPr="001C32CA">
        <w:rPr>
          <w:sz w:val="22"/>
          <w:szCs w:val="22"/>
        </w:rPr>
        <w:t>and the main contents are duplicated as below,</w:t>
      </w:r>
    </w:p>
    <w:p w14:paraId="3D243B32" w14:textId="31FFD4CB" w:rsidR="005E72D9" w:rsidRPr="001C32CA" w:rsidRDefault="005E72D9" w:rsidP="005E72D9">
      <w:pPr>
        <w:jc w:val="both"/>
        <w:rPr>
          <w:sz w:val="22"/>
          <w:szCs w:val="22"/>
        </w:rPr>
      </w:pPr>
    </w:p>
    <w:p w14:paraId="3E932B3D" w14:textId="2EEEA58B" w:rsidR="005E72D9" w:rsidRPr="001C32CA" w:rsidRDefault="005E72D9" w:rsidP="005E72D9">
      <w:pPr>
        <w:jc w:val="both"/>
        <w:rPr>
          <w:sz w:val="22"/>
          <w:szCs w:val="22"/>
        </w:rPr>
      </w:pPr>
    </w:p>
    <w:p w14:paraId="14518BEF" w14:textId="1771F96A" w:rsidR="005E72D9" w:rsidRPr="001C32CA" w:rsidRDefault="005E72D9" w:rsidP="005E72D9">
      <w:pPr>
        <w:jc w:val="both"/>
        <w:rPr>
          <w:sz w:val="22"/>
          <w:szCs w:val="22"/>
        </w:rPr>
      </w:pPr>
    </w:p>
    <w:p w14:paraId="0A7A03B8" w14:textId="05ED63C4" w:rsidR="005E72D9" w:rsidRPr="001C32CA" w:rsidRDefault="005E72D9" w:rsidP="005E72D9">
      <w:pPr>
        <w:jc w:val="both"/>
        <w:rPr>
          <w:sz w:val="22"/>
          <w:szCs w:val="22"/>
        </w:rPr>
      </w:pPr>
    </w:p>
    <w:p w14:paraId="7F191956" w14:textId="00EDEEDC" w:rsidR="005E72D9" w:rsidRPr="001C32CA" w:rsidRDefault="005E72D9" w:rsidP="005E72D9">
      <w:pPr>
        <w:jc w:val="both"/>
        <w:rPr>
          <w:sz w:val="22"/>
          <w:szCs w:val="22"/>
        </w:rPr>
      </w:pPr>
    </w:p>
    <w:p w14:paraId="42F10FB7" w14:textId="34F4B640" w:rsidR="005E72D9" w:rsidRPr="001C32CA" w:rsidRDefault="005E72D9" w:rsidP="005E72D9">
      <w:pPr>
        <w:jc w:val="both"/>
        <w:rPr>
          <w:sz w:val="22"/>
          <w:szCs w:val="22"/>
        </w:rPr>
      </w:pPr>
    </w:p>
    <w:p w14:paraId="2B00813B" w14:textId="4D6A6EF4" w:rsidR="005E72D9" w:rsidRPr="001C32CA" w:rsidRDefault="005E72D9" w:rsidP="005E72D9">
      <w:pPr>
        <w:jc w:val="both"/>
        <w:rPr>
          <w:sz w:val="22"/>
          <w:szCs w:val="22"/>
        </w:rPr>
      </w:pPr>
    </w:p>
    <w:p w14:paraId="072F5B2A" w14:textId="3EC9098A" w:rsidR="005E72D9" w:rsidRPr="001C32CA" w:rsidRDefault="005E72D9" w:rsidP="005E72D9">
      <w:pPr>
        <w:jc w:val="both"/>
        <w:rPr>
          <w:sz w:val="22"/>
          <w:szCs w:val="22"/>
        </w:rPr>
      </w:pPr>
    </w:p>
    <w:p w14:paraId="417FBE36" w14:textId="77777777" w:rsidR="005E72D9" w:rsidRPr="001C32CA" w:rsidRDefault="005E72D9" w:rsidP="005E72D9">
      <w:pPr>
        <w:jc w:val="both"/>
        <w:rPr>
          <w:sz w:val="22"/>
          <w:szCs w:val="22"/>
        </w:rPr>
      </w:pPr>
    </w:p>
    <w:tbl>
      <w:tblPr>
        <w:tblStyle w:val="TableGrid"/>
        <w:tblW w:w="0" w:type="auto"/>
        <w:tblLook w:val="04A0" w:firstRow="1" w:lastRow="0" w:firstColumn="1" w:lastColumn="0" w:noHBand="0" w:noVBand="1"/>
      </w:tblPr>
      <w:tblGrid>
        <w:gridCol w:w="9629"/>
      </w:tblGrid>
      <w:tr w:rsidR="005E72D9" w:rsidRPr="001C32CA" w14:paraId="7A30F264" w14:textId="77777777" w:rsidTr="008820F5">
        <w:trPr>
          <w:trHeight w:val="20"/>
        </w:trPr>
        <w:tc>
          <w:tcPr>
            <w:tcW w:w="9629" w:type="dxa"/>
          </w:tcPr>
          <w:p w14:paraId="47472C75" w14:textId="77777777" w:rsidR="005E72D9" w:rsidRPr="001C32CA" w:rsidRDefault="005E72D9" w:rsidP="008820F5">
            <w:pPr>
              <w:jc w:val="both"/>
              <w:rPr>
                <w:sz w:val="22"/>
                <w:szCs w:val="22"/>
              </w:rPr>
            </w:pPr>
            <w:r w:rsidRPr="001C32CA">
              <w:rPr>
                <w:sz w:val="22"/>
                <w:szCs w:val="22"/>
              </w:rPr>
              <w:lastRenderedPageBreak/>
              <w:t xml:space="preserve">RAN2 discussed a power saving enhancement when both FR1 and FR2 cells are configured via Carrier Aggregation. With this enhancement the FR2 cells can be configured with a separate (and shorter) </w:t>
            </w:r>
            <w:r w:rsidRPr="001C32CA">
              <w:rPr>
                <w:i/>
                <w:sz w:val="22"/>
                <w:szCs w:val="22"/>
              </w:rPr>
              <w:t>drx-InactivityTimer</w:t>
            </w:r>
            <w:r w:rsidRPr="001C32CA">
              <w:rPr>
                <w:sz w:val="22"/>
                <w:szCs w:val="22"/>
              </w:rPr>
              <w:t xml:space="preserve"> and </w:t>
            </w:r>
            <w:r w:rsidRPr="001C32CA">
              <w:rPr>
                <w:i/>
                <w:sz w:val="22"/>
                <w:szCs w:val="22"/>
              </w:rPr>
              <w:t>drx-OnDurationTimer</w:t>
            </w:r>
            <w:r w:rsidRPr="001C32CA">
              <w:rPr>
                <w:sz w:val="22"/>
                <w:szCs w:val="22"/>
              </w:rPr>
              <w:t xml:space="preserve"> compared to the FR1 cells. The length of Long DRX cycle and Short DRX cycle, if configured, are common for both FR1 and FR2. This enhancement enables the FR2 cells to go to sleep more quickly and thereby reduce power consumption as depicted below: </w:t>
            </w:r>
          </w:p>
          <w:p w14:paraId="108151E8" w14:textId="77777777" w:rsidR="005E72D9" w:rsidRPr="001C32CA" w:rsidRDefault="005E72D9" w:rsidP="008820F5">
            <w:pPr>
              <w:jc w:val="both"/>
              <w:rPr>
                <w:sz w:val="22"/>
                <w:szCs w:val="22"/>
              </w:rPr>
            </w:pPr>
            <w:r w:rsidRPr="001C32CA">
              <w:rPr>
                <w:noProof/>
                <w:sz w:val="22"/>
                <w:szCs w:val="22"/>
              </w:rPr>
              <w:drawing>
                <wp:inline distT="0" distB="0" distL="0" distR="0" wp14:anchorId="1D4C27BB" wp14:editId="0D9CEE74">
                  <wp:extent cx="3517436" cy="1602514"/>
                  <wp:effectExtent l="0" t="0" r="635"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3392" t="23228" r="22954" b="18242"/>
                          <a:stretch>
                            <a:fillRect/>
                          </a:stretch>
                        </pic:blipFill>
                        <pic:spPr bwMode="auto">
                          <a:xfrm>
                            <a:off x="0" y="0"/>
                            <a:ext cx="3550013" cy="1617356"/>
                          </a:xfrm>
                          <a:prstGeom prst="rect">
                            <a:avLst/>
                          </a:prstGeom>
                          <a:noFill/>
                          <a:ln>
                            <a:noFill/>
                          </a:ln>
                        </pic:spPr>
                      </pic:pic>
                    </a:graphicData>
                  </a:graphic>
                </wp:inline>
              </w:drawing>
            </w:r>
            <w:r w:rsidRPr="001C32CA">
              <w:rPr>
                <w:sz w:val="22"/>
                <w:szCs w:val="22"/>
              </w:rPr>
              <w:t xml:space="preserve"> </w:t>
            </w:r>
          </w:p>
          <w:p w14:paraId="4C2FFD1C" w14:textId="77777777" w:rsidR="005E72D9" w:rsidRPr="001C32CA" w:rsidRDefault="005E72D9" w:rsidP="008820F5">
            <w:pPr>
              <w:jc w:val="both"/>
              <w:rPr>
                <w:sz w:val="22"/>
                <w:szCs w:val="22"/>
              </w:rPr>
            </w:pPr>
            <w:r w:rsidRPr="001C32CA">
              <w:rPr>
                <w:sz w:val="22"/>
                <w:szCs w:val="22"/>
              </w:rPr>
              <w:t xml:space="preserve">RAN2 reached the following agreements: </w:t>
            </w:r>
          </w:p>
          <w:p w14:paraId="680DEE1E" w14:textId="77777777" w:rsidR="005E72D9" w:rsidRPr="001C32CA" w:rsidRDefault="005E72D9" w:rsidP="002E4D0A">
            <w:pPr>
              <w:pStyle w:val="Doc-text2"/>
              <w:ind w:left="930"/>
              <w:rPr>
                <w:rFonts w:ascii="Times New Roman" w:hAnsi="Times New Roman"/>
                <w:b/>
                <w:sz w:val="22"/>
                <w:szCs w:val="22"/>
                <w:lang w:eastAsia="zh-CN"/>
              </w:rPr>
            </w:pPr>
            <w:bookmarkStart w:id="0" w:name="_Hlk25217911"/>
            <w:r w:rsidRPr="001C32CA">
              <w:rPr>
                <w:rFonts w:ascii="Times New Roman" w:hAnsi="Times New Roman"/>
                <w:b/>
                <w:sz w:val="22"/>
                <w:szCs w:val="22"/>
                <w:lang w:eastAsia="zh-CN"/>
              </w:rPr>
              <w:t>Conditional on R1 acceptance</w:t>
            </w:r>
            <w:bookmarkEnd w:id="0"/>
            <w:r w:rsidRPr="001C32CA">
              <w:rPr>
                <w:rFonts w:ascii="Times New Roman" w:hAnsi="Times New Roman"/>
                <w:b/>
                <w:sz w:val="22"/>
                <w:szCs w:val="22"/>
                <w:lang w:eastAsia="zh-CN"/>
              </w:rPr>
              <w:t xml:space="preserve">: </w:t>
            </w:r>
          </w:p>
          <w:p w14:paraId="7974D1A8" w14:textId="77777777" w:rsidR="005E72D9" w:rsidRPr="001C32CA" w:rsidRDefault="005E72D9" w:rsidP="002E4D0A">
            <w:pPr>
              <w:pStyle w:val="Agreement"/>
              <w:tabs>
                <w:tab w:val="clear" w:pos="1800"/>
                <w:tab w:val="num" w:pos="1619"/>
              </w:tabs>
              <w:spacing w:before="0"/>
              <w:ind w:left="927"/>
              <w:rPr>
                <w:rFonts w:ascii="Times New Roman" w:hAnsi="Times New Roman"/>
                <w:sz w:val="22"/>
                <w:szCs w:val="22"/>
                <w:lang w:eastAsia="zh-CN"/>
              </w:rPr>
            </w:pPr>
            <w:r w:rsidRPr="001C32CA">
              <w:rPr>
                <w:rFonts w:ascii="Times New Roman" w:hAnsi="Times New Roman"/>
                <w:sz w:val="22"/>
                <w:szCs w:val="22"/>
                <w:lang w:eastAsia="zh-CN"/>
              </w:rPr>
              <w:t xml:space="preserve">A separate </w:t>
            </w:r>
            <w:r w:rsidRPr="001C32CA">
              <w:rPr>
                <w:rFonts w:ascii="Times New Roman" w:eastAsia="Times New Roman" w:hAnsi="Times New Roman"/>
                <w:i/>
                <w:sz w:val="22"/>
                <w:szCs w:val="22"/>
                <w:lang w:eastAsia="zh-CN"/>
              </w:rPr>
              <w:t>drx-InactivityTimer</w:t>
            </w:r>
            <w:r w:rsidRPr="001C32CA">
              <w:rPr>
                <w:rFonts w:ascii="Times New Roman" w:eastAsia="Times New Roman" w:hAnsi="Times New Roman"/>
                <w:sz w:val="22"/>
                <w:szCs w:val="22"/>
                <w:lang w:eastAsia="zh-CN"/>
              </w:rPr>
              <w:t xml:space="preserve"> and </w:t>
            </w:r>
            <w:r w:rsidRPr="001C32CA">
              <w:rPr>
                <w:rFonts w:ascii="Times New Roman" w:eastAsia="Times New Roman" w:hAnsi="Times New Roman"/>
                <w:i/>
                <w:sz w:val="22"/>
                <w:szCs w:val="22"/>
                <w:lang w:eastAsia="zh-CN"/>
              </w:rPr>
              <w:t>drx-onDurationTimer</w:t>
            </w:r>
            <w:r w:rsidRPr="001C32CA">
              <w:rPr>
                <w:rFonts w:ascii="Times New Roman" w:hAnsi="Times New Roman"/>
                <w:sz w:val="22"/>
                <w:szCs w:val="22"/>
                <w:lang w:eastAsia="zh-CN"/>
              </w:rPr>
              <w:t xml:space="preserve"> can be configured for the secondary DRX group. R2 understands that this has zero or almost zero impact in R1 and R4</w:t>
            </w:r>
          </w:p>
          <w:p w14:paraId="119C154B" w14:textId="77777777" w:rsidR="005E72D9" w:rsidRPr="001C32CA" w:rsidRDefault="005E72D9" w:rsidP="002E4D0A">
            <w:pPr>
              <w:pStyle w:val="Agreement"/>
              <w:tabs>
                <w:tab w:val="clear" w:pos="1800"/>
                <w:tab w:val="num" w:pos="1619"/>
              </w:tabs>
              <w:spacing w:before="0"/>
              <w:ind w:left="927"/>
              <w:rPr>
                <w:rFonts w:ascii="Times New Roman" w:hAnsi="Times New Roman"/>
                <w:sz w:val="22"/>
                <w:szCs w:val="22"/>
                <w:lang w:eastAsia="zh-CN"/>
              </w:rPr>
            </w:pPr>
            <w:r w:rsidRPr="001C32CA">
              <w:rPr>
                <w:rFonts w:ascii="Times New Roman" w:hAnsi="Times New Roman"/>
                <w:sz w:val="22"/>
                <w:szCs w:val="22"/>
                <w:lang w:eastAsia="zh-CN"/>
              </w:rPr>
              <w:t xml:space="preserve">The </w:t>
            </w:r>
            <w:bookmarkStart w:id="1" w:name="_Hlk25216465"/>
            <w:r w:rsidRPr="001C32CA">
              <w:rPr>
                <w:rFonts w:ascii="Times New Roman" w:hAnsi="Times New Roman"/>
                <w:sz w:val="22"/>
                <w:szCs w:val="22"/>
                <w:lang w:eastAsia="zh-CN"/>
              </w:rPr>
              <w:t>combination of cross-carrier scheduling and secondary DRX group is not support</w:t>
            </w:r>
            <w:bookmarkEnd w:id="1"/>
            <w:r w:rsidRPr="001C32CA">
              <w:rPr>
                <w:rFonts w:ascii="Times New Roman" w:hAnsi="Times New Roman"/>
                <w:sz w:val="22"/>
                <w:szCs w:val="22"/>
                <w:lang w:eastAsia="zh-CN"/>
              </w:rPr>
              <w:t>ed</w:t>
            </w:r>
          </w:p>
          <w:p w14:paraId="2BE98A15" w14:textId="77777777" w:rsidR="005E72D9" w:rsidRPr="001C32CA" w:rsidRDefault="005E72D9" w:rsidP="002E4D0A">
            <w:pPr>
              <w:pStyle w:val="Agreement"/>
              <w:tabs>
                <w:tab w:val="clear" w:pos="1800"/>
                <w:tab w:val="num" w:pos="1619"/>
              </w:tabs>
              <w:spacing w:before="0"/>
              <w:ind w:left="927"/>
              <w:rPr>
                <w:rFonts w:ascii="Times New Roman" w:hAnsi="Times New Roman"/>
                <w:sz w:val="22"/>
                <w:szCs w:val="22"/>
                <w:lang w:eastAsia="zh-CN"/>
              </w:rPr>
            </w:pPr>
            <w:r w:rsidRPr="001C32CA">
              <w:rPr>
                <w:rFonts w:ascii="Times New Roman" w:hAnsi="Times New Roman"/>
                <w:sz w:val="22"/>
                <w:szCs w:val="22"/>
                <w:lang w:eastAsia="zh-CN"/>
              </w:rPr>
              <w:t>FFS if timers for FR2 DRX configuration are shorter than timers for FR1 DRX configuration.</w:t>
            </w:r>
          </w:p>
          <w:p w14:paraId="39630512" w14:textId="77777777" w:rsidR="005E72D9" w:rsidRPr="001C32CA" w:rsidRDefault="005E72D9" w:rsidP="002E4D0A">
            <w:pPr>
              <w:pStyle w:val="Agreement"/>
              <w:tabs>
                <w:tab w:val="clear" w:pos="1800"/>
                <w:tab w:val="num" w:pos="1619"/>
              </w:tabs>
              <w:spacing w:before="0"/>
              <w:ind w:left="924" w:hanging="357"/>
              <w:rPr>
                <w:rFonts w:ascii="Times New Roman" w:hAnsi="Times New Roman"/>
                <w:sz w:val="22"/>
                <w:szCs w:val="22"/>
                <w:lang w:eastAsia="zh-CN"/>
              </w:rPr>
            </w:pPr>
            <w:r w:rsidRPr="001C32CA">
              <w:rPr>
                <w:rFonts w:ascii="Times New Roman" w:hAnsi="Times New Roman"/>
                <w:sz w:val="22"/>
                <w:szCs w:val="22"/>
                <w:lang w:eastAsia="zh-CN"/>
              </w:rPr>
              <w:t xml:space="preserve">The intention is to apply secondary DRX configuration to FR2 and existing DRX configuration to FR1 </w:t>
            </w:r>
          </w:p>
          <w:p w14:paraId="26C65B48" w14:textId="5C05BD20" w:rsidR="005E72D9" w:rsidRDefault="005E72D9" w:rsidP="008820F5">
            <w:pPr>
              <w:jc w:val="both"/>
              <w:rPr>
                <w:sz w:val="22"/>
                <w:szCs w:val="22"/>
              </w:rPr>
            </w:pPr>
            <w:r w:rsidRPr="001C32CA">
              <w:rPr>
                <w:sz w:val="22"/>
                <w:szCs w:val="22"/>
              </w:rPr>
              <w:t>RAN2 has the intention to introduce this enhancement under TEI16 and would like to check that this has zero or very little impacts to RAN1 and RAN4.</w:t>
            </w:r>
          </w:p>
          <w:p w14:paraId="63356012" w14:textId="77777777" w:rsidR="002E4D0A" w:rsidRPr="001C32CA" w:rsidRDefault="002E4D0A" w:rsidP="008820F5">
            <w:pPr>
              <w:jc w:val="both"/>
              <w:rPr>
                <w:sz w:val="22"/>
                <w:szCs w:val="22"/>
              </w:rPr>
            </w:pPr>
          </w:p>
          <w:p w14:paraId="22A8A789" w14:textId="77777777" w:rsidR="005E72D9" w:rsidRPr="001C32CA" w:rsidRDefault="005E72D9" w:rsidP="008820F5">
            <w:pPr>
              <w:jc w:val="both"/>
              <w:rPr>
                <w:b/>
                <w:sz w:val="22"/>
                <w:szCs w:val="22"/>
              </w:rPr>
            </w:pPr>
            <w:r w:rsidRPr="001C32CA">
              <w:rPr>
                <w:b/>
                <w:sz w:val="22"/>
                <w:szCs w:val="22"/>
              </w:rPr>
              <w:t>2. Actions:</w:t>
            </w:r>
          </w:p>
          <w:p w14:paraId="3B2FE619" w14:textId="77777777" w:rsidR="005E72D9" w:rsidRPr="001C32CA" w:rsidRDefault="005E72D9" w:rsidP="008820F5">
            <w:pPr>
              <w:ind w:left="1985" w:hanging="1985"/>
              <w:jc w:val="both"/>
              <w:rPr>
                <w:b/>
                <w:sz w:val="22"/>
                <w:szCs w:val="22"/>
              </w:rPr>
            </w:pPr>
            <w:r w:rsidRPr="001C32CA">
              <w:rPr>
                <w:b/>
                <w:sz w:val="22"/>
                <w:szCs w:val="22"/>
              </w:rPr>
              <w:t>To RAN1</w:t>
            </w:r>
          </w:p>
          <w:p w14:paraId="379B10D1" w14:textId="77777777" w:rsidR="005E72D9" w:rsidRPr="001C32CA" w:rsidRDefault="005E72D9" w:rsidP="008820F5">
            <w:pPr>
              <w:ind w:left="993" w:hanging="993"/>
              <w:jc w:val="both"/>
              <w:rPr>
                <w:sz w:val="22"/>
                <w:szCs w:val="22"/>
              </w:rPr>
            </w:pPr>
            <w:r w:rsidRPr="001C32CA">
              <w:rPr>
                <w:b/>
                <w:sz w:val="22"/>
                <w:szCs w:val="22"/>
              </w:rPr>
              <w:t xml:space="preserve">ACTION: </w:t>
            </w:r>
            <w:r w:rsidRPr="001C32CA">
              <w:rPr>
                <w:b/>
                <w:sz w:val="22"/>
                <w:szCs w:val="22"/>
              </w:rPr>
              <w:tab/>
            </w:r>
            <w:r w:rsidRPr="001C32CA">
              <w:rPr>
                <w:sz w:val="22"/>
                <w:szCs w:val="22"/>
              </w:rPr>
              <w:t>RAN2 respectfully asks RAN1 to confirm there is no RAN1 impact, or little impact that is acceptable.</w:t>
            </w:r>
          </w:p>
          <w:p w14:paraId="52E1038E" w14:textId="77777777" w:rsidR="005E72D9" w:rsidRPr="001C32CA" w:rsidRDefault="005E72D9" w:rsidP="008820F5">
            <w:pPr>
              <w:ind w:left="1985" w:hanging="1985"/>
              <w:jc w:val="both"/>
              <w:rPr>
                <w:b/>
                <w:sz w:val="22"/>
                <w:szCs w:val="22"/>
              </w:rPr>
            </w:pPr>
            <w:r w:rsidRPr="001C32CA">
              <w:rPr>
                <w:b/>
                <w:sz w:val="22"/>
                <w:szCs w:val="22"/>
              </w:rPr>
              <w:t>To RAN4</w:t>
            </w:r>
          </w:p>
          <w:p w14:paraId="1D52526D" w14:textId="77777777" w:rsidR="005E72D9" w:rsidRPr="001C32CA" w:rsidRDefault="005E72D9" w:rsidP="008820F5">
            <w:pPr>
              <w:ind w:left="993" w:hanging="993"/>
              <w:jc w:val="both"/>
              <w:rPr>
                <w:sz w:val="22"/>
                <w:szCs w:val="22"/>
              </w:rPr>
            </w:pPr>
            <w:r w:rsidRPr="001C32CA">
              <w:rPr>
                <w:b/>
                <w:sz w:val="22"/>
                <w:szCs w:val="22"/>
              </w:rPr>
              <w:t xml:space="preserve">ACTION: </w:t>
            </w:r>
            <w:r w:rsidRPr="001C32CA">
              <w:rPr>
                <w:b/>
                <w:sz w:val="22"/>
                <w:szCs w:val="22"/>
              </w:rPr>
              <w:tab/>
            </w:r>
            <w:r w:rsidRPr="001C32CA">
              <w:rPr>
                <w:sz w:val="22"/>
                <w:szCs w:val="22"/>
              </w:rPr>
              <w:t>RAN2 respectfully asks RAN4 to confirm there is no RAN4 impact or little impact that is acceptable.</w:t>
            </w:r>
          </w:p>
        </w:tc>
      </w:tr>
    </w:tbl>
    <w:p w14:paraId="69E0C2CD" w14:textId="385C0955" w:rsidR="005E72D9" w:rsidRDefault="005E72D9" w:rsidP="00053429">
      <w:pPr>
        <w:rPr>
          <w:rFonts w:eastAsia="MS Mincho"/>
          <w:sz w:val="22"/>
          <w:szCs w:val="22"/>
          <w:lang w:eastAsia="ja-JP"/>
        </w:rPr>
      </w:pPr>
    </w:p>
    <w:p w14:paraId="3DDEDE0B" w14:textId="4C1F2ADE" w:rsidR="002E4D0A" w:rsidRDefault="002E4D0A" w:rsidP="00053429">
      <w:pPr>
        <w:rPr>
          <w:rFonts w:eastAsia="MS Mincho"/>
          <w:sz w:val="22"/>
          <w:szCs w:val="22"/>
          <w:lang w:eastAsia="ja-JP"/>
        </w:rPr>
      </w:pPr>
      <w:r>
        <w:rPr>
          <w:rFonts w:eastAsia="MS Mincho"/>
          <w:sz w:val="22"/>
          <w:szCs w:val="22"/>
          <w:lang w:eastAsia="ja-JP"/>
        </w:rPr>
        <w:t>Current status in RAN2 is that RAN2 work on the secondary DRX group is put on hold until RAN2 can receive positive LS reply from RAN1 and RAN4. However, in the latest RAN1 meeting RAN1#100e, a LS reply was delayed, at least until next meeting</w:t>
      </w:r>
      <w:r w:rsidR="000A0BAB">
        <w:rPr>
          <w:rFonts w:eastAsia="MS Mincho"/>
          <w:sz w:val="22"/>
          <w:szCs w:val="22"/>
          <w:lang w:eastAsia="ja-JP"/>
        </w:rPr>
        <w:t>,</w:t>
      </w:r>
      <w:r>
        <w:rPr>
          <w:rFonts w:eastAsia="MS Mincho"/>
          <w:sz w:val="22"/>
          <w:szCs w:val="22"/>
          <w:lang w:eastAsia="ja-JP"/>
        </w:rPr>
        <w:t xml:space="preserve"> since it is hard to make a judgement in RAN1 whether impact is “little”. </w:t>
      </w:r>
    </w:p>
    <w:p w14:paraId="63074CD4" w14:textId="2A1B529C" w:rsidR="002E4D0A" w:rsidRDefault="002E4D0A" w:rsidP="00053429">
      <w:pPr>
        <w:rPr>
          <w:rFonts w:eastAsia="MS Mincho"/>
          <w:sz w:val="22"/>
          <w:szCs w:val="22"/>
          <w:lang w:eastAsia="ja-JP"/>
        </w:rPr>
      </w:pPr>
    </w:p>
    <w:p w14:paraId="753CEC3B" w14:textId="16B1588A" w:rsidR="002E4D0A" w:rsidRDefault="002E4D0A" w:rsidP="00053429">
      <w:pPr>
        <w:rPr>
          <w:rFonts w:eastAsia="MS Mincho"/>
          <w:sz w:val="22"/>
          <w:szCs w:val="22"/>
          <w:lang w:eastAsia="ja-JP"/>
        </w:rPr>
      </w:pPr>
      <w:r>
        <w:rPr>
          <w:rFonts w:eastAsia="MS Mincho"/>
          <w:sz w:val="22"/>
          <w:szCs w:val="22"/>
          <w:lang w:eastAsia="ja-JP"/>
        </w:rPr>
        <w:t xml:space="preserve">In this contribution, we share our view on this topic and propose for RAN2 to continue the work without </w:t>
      </w:r>
      <w:r w:rsidR="00B44AF6">
        <w:rPr>
          <w:rFonts w:eastAsia="MS Mincho"/>
          <w:sz w:val="22"/>
          <w:szCs w:val="22"/>
          <w:lang w:eastAsia="ja-JP"/>
        </w:rPr>
        <w:t>hinging on the LS reply.</w:t>
      </w:r>
    </w:p>
    <w:p w14:paraId="7E5816AD" w14:textId="77777777" w:rsidR="00477D26" w:rsidRDefault="00477D26" w:rsidP="00513A5F">
      <w:pPr>
        <w:pStyle w:val="Heading1"/>
      </w:pPr>
      <w:r>
        <w:t>Views on secondary DRX group</w:t>
      </w:r>
    </w:p>
    <w:p w14:paraId="365925EB" w14:textId="5A9D4E20" w:rsidR="00477D26" w:rsidRDefault="00477D26" w:rsidP="00477D26">
      <w:pPr>
        <w:pStyle w:val="Heading2"/>
      </w:pPr>
      <w:r>
        <w:t>RAN2 view</w:t>
      </w:r>
    </w:p>
    <w:p w14:paraId="3A6B8A7F" w14:textId="5F136EF3" w:rsidR="005C3F24" w:rsidRDefault="005C3F24" w:rsidP="005C3F24">
      <w:pPr>
        <w:rPr>
          <w:rFonts w:eastAsia="MS Mincho"/>
          <w:sz w:val="22"/>
          <w:szCs w:val="22"/>
          <w:lang w:eastAsia="ja-JP"/>
        </w:rPr>
      </w:pPr>
      <w:r>
        <w:rPr>
          <w:sz w:val="22"/>
          <w:szCs w:val="22"/>
        </w:rPr>
        <w:t xml:space="preserve">As we discussed above, we believe two DRX groups in a cell group is a very useful feature to solve the practical issues related to FR2 deployment. For FR2 deployment, we need to consider both the coverage and UE power consumption issues, which are typically two conflicting requirement. For FR2 deployment, the coverage can be ensured by FR1 and FR2 NR-CA. In FR1 and FR2 NR-CA, it is nature to configure different DRX pattern to adapt to the different use case for FR1 and FR2. It is reasonable to configure longer DRX cycle, longer </w:t>
      </w:r>
      <w:r w:rsidRPr="001C32CA">
        <w:rPr>
          <w:rFonts w:eastAsia="MS Mincho"/>
          <w:i/>
          <w:iCs/>
          <w:sz w:val="22"/>
          <w:szCs w:val="22"/>
          <w:lang w:eastAsia="ja-JP"/>
        </w:rPr>
        <w:t>drx-InactivityTimer</w:t>
      </w:r>
      <w:r w:rsidRPr="001C32CA">
        <w:rPr>
          <w:rFonts w:eastAsia="MS Mincho"/>
          <w:sz w:val="22"/>
          <w:szCs w:val="22"/>
          <w:lang w:eastAsia="ja-JP"/>
        </w:rPr>
        <w:t xml:space="preserve"> and</w:t>
      </w:r>
      <w:r>
        <w:rPr>
          <w:rFonts w:eastAsia="MS Mincho"/>
          <w:sz w:val="22"/>
          <w:szCs w:val="22"/>
          <w:lang w:eastAsia="ja-JP"/>
        </w:rPr>
        <w:t xml:space="preserve">/or longer </w:t>
      </w:r>
      <w:r w:rsidRPr="001C32CA">
        <w:rPr>
          <w:rFonts w:eastAsia="MS Mincho"/>
          <w:i/>
          <w:iCs/>
          <w:sz w:val="22"/>
          <w:szCs w:val="22"/>
          <w:lang w:eastAsia="ja-JP"/>
        </w:rPr>
        <w:t>drx-onDurationTimer</w:t>
      </w:r>
      <w:r>
        <w:rPr>
          <w:rFonts w:eastAsia="MS Mincho"/>
          <w:sz w:val="22"/>
          <w:szCs w:val="22"/>
          <w:lang w:eastAsia="ja-JP"/>
        </w:rPr>
        <w:t xml:space="preserve"> for cells in FR2 compared to </w:t>
      </w:r>
      <w:r>
        <w:rPr>
          <w:rFonts w:eastAsia="MS Mincho"/>
          <w:sz w:val="22"/>
          <w:szCs w:val="22"/>
          <w:lang w:eastAsia="ja-JP"/>
        </w:rPr>
        <w:lastRenderedPageBreak/>
        <w:t xml:space="preserve">cells in FR1, since FR2 is more targeted for data enhancement layer and faces more stringent power and thermal concern. </w:t>
      </w:r>
      <w:r w:rsidR="0058478A">
        <w:rPr>
          <w:rFonts w:eastAsia="MS Mincho"/>
          <w:sz w:val="22"/>
          <w:szCs w:val="22"/>
          <w:lang w:eastAsia="ja-JP"/>
        </w:rPr>
        <w:t>UE should not be required to monitor DCI on FR2 as frequently as FR1.</w:t>
      </w:r>
    </w:p>
    <w:p w14:paraId="07943F84" w14:textId="5D555942" w:rsidR="00564748" w:rsidRDefault="00564748" w:rsidP="005C3F24">
      <w:pPr>
        <w:rPr>
          <w:rFonts w:eastAsia="MS Mincho"/>
          <w:sz w:val="22"/>
          <w:szCs w:val="22"/>
          <w:lang w:eastAsia="ja-JP"/>
        </w:rPr>
      </w:pPr>
    </w:p>
    <w:p w14:paraId="2E4E1C8F" w14:textId="1C1781BE" w:rsidR="00564748" w:rsidRDefault="00564748" w:rsidP="005C3F24">
      <w:pPr>
        <w:rPr>
          <w:rFonts w:eastAsia="MS Mincho"/>
          <w:sz w:val="22"/>
          <w:szCs w:val="22"/>
          <w:lang w:eastAsia="ja-JP"/>
        </w:rPr>
      </w:pPr>
      <w:r>
        <w:rPr>
          <w:rFonts w:eastAsia="MS Mincho"/>
          <w:sz w:val="22"/>
          <w:szCs w:val="22"/>
          <w:lang w:eastAsia="ja-JP"/>
        </w:rPr>
        <w:t>Unfortunately, a LS reply confirming no impact or little impact that is acceptable from either RAN1 or RAN2 is hard to reach. Different companies always have different opinion and the question itself is also quite subjective to judge whether the impact is “little” or “acceptable”. If there are consensus to work on this feature in the first place, the LS, most likely, wouldn’t have been sent out. While consensus is clearly required for a LS reply, we are worried this can easily create deadlock and prevent secondary DRX group from being design in RAN2.</w:t>
      </w:r>
    </w:p>
    <w:p w14:paraId="691A0707" w14:textId="13C44AF3" w:rsidR="00564748" w:rsidRDefault="00564748" w:rsidP="005C3F24">
      <w:pPr>
        <w:rPr>
          <w:rFonts w:eastAsia="MS Mincho"/>
          <w:sz w:val="22"/>
          <w:szCs w:val="22"/>
          <w:lang w:eastAsia="ja-JP"/>
        </w:rPr>
      </w:pPr>
    </w:p>
    <w:p w14:paraId="6C7C10FC" w14:textId="6EFE4E31" w:rsidR="00564748" w:rsidRDefault="00564748" w:rsidP="005C3F24">
      <w:pPr>
        <w:rPr>
          <w:rFonts w:eastAsia="MS Mincho"/>
          <w:sz w:val="22"/>
          <w:szCs w:val="22"/>
          <w:lang w:eastAsia="ja-JP"/>
        </w:rPr>
      </w:pPr>
      <w:r>
        <w:rPr>
          <w:rFonts w:eastAsia="MS Mincho"/>
          <w:sz w:val="22"/>
          <w:szCs w:val="22"/>
          <w:lang w:eastAsia="ja-JP"/>
        </w:rPr>
        <w:t>As results, we have following observation</w:t>
      </w:r>
    </w:p>
    <w:p w14:paraId="78A778C4" w14:textId="77777777" w:rsidR="005C3F24" w:rsidRPr="001C32CA" w:rsidRDefault="005C3F24" w:rsidP="005C3F24">
      <w:pPr>
        <w:rPr>
          <w:rFonts w:eastAsia="MS Mincho"/>
          <w:sz w:val="22"/>
          <w:szCs w:val="22"/>
          <w:lang w:eastAsia="ja-JP"/>
        </w:rPr>
      </w:pPr>
    </w:p>
    <w:p w14:paraId="5D14FB20" w14:textId="66C6A478" w:rsidR="00A842B3" w:rsidRDefault="00564748" w:rsidP="00564748">
      <w:pPr>
        <w:jc w:val="both"/>
        <w:rPr>
          <w:rFonts w:cs="v4.2.0"/>
          <w:b/>
          <w:bCs/>
          <w:i/>
          <w:iCs/>
        </w:rPr>
      </w:pPr>
      <w:r>
        <w:rPr>
          <w:rFonts w:cs="v4.2.0"/>
          <w:b/>
          <w:bCs/>
          <w:i/>
          <w:iCs/>
        </w:rPr>
        <w:t>Observation</w:t>
      </w:r>
      <w:r w:rsidRPr="00DD4798">
        <w:rPr>
          <w:rFonts w:cs="v4.2.0"/>
          <w:b/>
          <w:bCs/>
          <w:i/>
          <w:iCs/>
        </w:rPr>
        <w:t xml:space="preserve">: </w:t>
      </w:r>
      <w:r>
        <w:rPr>
          <w:rFonts w:cs="v4.2.0"/>
          <w:b/>
          <w:bCs/>
          <w:i/>
          <w:iCs/>
        </w:rPr>
        <w:t>RAN2 should try to minimize the risk of deadlock that may be created by replying on the LS reply from RAN1 and RAN4</w:t>
      </w:r>
      <w:r w:rsidR="00043D93">
        <w:rPr>
          <w:rFonts w:cs="v4.2.0"/>
          <w:b/>
          <w:bCs/>
          <w:i/>
          <w:iCs/>
        </w:rPr>
        <w:t xml:space="preserve">. The </w:t>
      </w:r>
      <w:r w:rsidR="00955171">
        <w:rPr>
          <w:rFonts w:cs="v4.2.0"/>
          <w:b/>
          <w:bCs/>
          <w:i/>
          <w:iCs/>
        </w:rPr>
        <w:t>deadlock</w:t>
      </w:r>
      <w:r w:rsidR="00043D93">
        <w:rPr>
          <w:rFonts w:cs="v4.2.0"/>
          <w:b/>
          <w:bCs/>
          <w:i/>
          <w:iCs/>
        </w:rPr>
        <w:t xml:space="preserve"> may</w:t>
      </w:r>
      <w:r w:rsidR="00A842B3">
        <w:rPr>
          <w:rFonts w:cs="v4.2.0"/>
          <w:b/>
          <w:bCs/>
          <w:i/>
          <w:iCs/>
        </w:rPr>
        <w:t xml:space="preserve"> cause the </w:t>
      </w:r>
      <w:r>
        <w:rPr>
          <w:rFonts w:cs="v4.2.0"/>
          <w:b/>
          <w:bCs/>
          <w:i/>
          <w:iCs/>
        </w:rPr>
        <w:t xml:space="preserve">secondary DRX group work </w:t>
      </w:r>
      <w:r w:rsidR="00A842B3">
        <w:rPr>
          <w:rFonts w:cs="v4.2.0"/>
          <w:b/>
          <w:bCs/>
          <w:i/>
          <w:iCs/>
        </w:rPr>
        <w:t>to be</w:t>
      </w:r>
      <w:r>
        <w:rPr>
          <w:rFonts w:cs="v4.2.0"/>
          <w:b/>
          <w:bCs/>
          <w:i/>
          <w:iCs/>
        </w:rPr>
        <w:t xml:space="preserve"> delayed </w:t>
      </w:r>
      <w:r w:rsidR="00A842B3">
        <w:rPr>
          <w:rFonts w:cs="v4.2.0"/>
          <w:b/>
          <w:bCs/>
          <w:i/>
          <w:iCs/>
        </w:rPr>
        <w:t>unnecessarily.</w:t>
      </w:r>
    </w:p>
    <w:p w14:paraId="0B4AF75F" w14:textId="66C6F768" w:rsidR="00477D26" w:rsidRDefault="00477D26" w:rsidP="00477D26">
      <w:pPr>
        <w:pStyle w:val="Heading2"/>
      </w:pPr>
      <w:r>
        <w:t xml:space="preserve">RAN1 view </w:t>
      </w:r>
    </w:p>
    <w:p w14:paraId="049A553B" w14:textId="25160D4D" w:rsidR="00C44568" w:rsidRPr="00506329" w:rsidRDefault="00DE4100" w:rsidP="00DE4100">
      <w:pPr>
        <w:rPr>
          <w:sz w:val="22"/>
          <w:szCs w:val="22"/>
        </w:rPr>
      </w:pPr>
      <w:r w:rsidRPr="00506329">
        <w:rPr>
          <w:sz w:val="22"/>
          <w:szCs w:val="22"/>
        </w:rPr>
        <w:t>During the RAN1 discussion in RAN1#100e, companies raised a few topics on which secondary DRX group design may have impact on RAN1</w:t>
      </w:r>
      <w:r w:rsidR="00C44568" w:rsidRPr="00506329">
        <w:rPr>
          <w:sz w:val="22"/>
          <w:szCs w:val="22"/>
        </w:rPr>
        <w:t>. Below we share our view on those topics</w:t>
      </w:r>
      <w:r w:rsidR="00506329">
        <w:rPr>
          <w:sz w:val="22"/>
          <w:szCs w:val="22"/>
        </w:rPr>
        <w:t xml:space="preserve">, which mainly </w:t>
      </w:r>
      <w:r w:rsidR="00615219">
        <w:rPr>
          <w:sz w:val="22"/>
          <w:szCs w:val="22"/>
        </w:rPr>
        <w:t>focus</w:t>
      </w:r>
      <w:r w:rsidR="00506329">
        <w:rPr>
          <w:sz w:val="22"/>
          <w:szCs w:val="22"/>
        </w:rPr>
        <w:t xml:space="preserve"> on the interaction between WUS and two DRX groups</w:t>
      </w:r>
      <w:r w:rsidR="00C44568" w:rsidRPr="00506329">
        <w:rPr>
          <w:sz w:val="22"/>
          <w:szCs w:val="22"/>
        </w:rPr>
        <w:t xml:space="preserve"> </w:t>
      </w:r>
    </w:p>
    <w:p w14:paraId="4F6EE300" w14:textId="6C076538" w:rsidR="00C44568" w:rsidRPr="00506329" w:rsidRDefault="00C44568" w:rsidP="00DE4100">
      <w:pPr>
        <w:rPr>
          <w:sz w:val="22"/>
          <w:szCs w:val="22"/>
        </w:rPr>
      </w:pPr>
    </w:p>
    <w:p w14:paraId="4C8852C1" w14:textId="77777777" w:rsidR="002579EB" w:rsidRDefault="004353C0" w:rsidP="002579EB">
      <w:pPr>
        <w:pStyle w:val="ListParagraph"/>
        <w:numPr>
          <w:ilvl w:val="0"/>
          <w:numId w:val="41"/>
        </w:numPr>
        <w:rPr>
          <w:rFonts w:ascii="Times New Roman" w:hAnsi="Times New Roman"/>
          <w:color w:val="000000"/>
        </w:rPr>
      </w:pPr>
      <w:r>
        <w:rPr>
          <w:rFonts w:ascii="Times New Roman" w:hAnsi="Times New Roman"/>
          <w:color w:val="000000"/>
        </w:rPr>
        <w:t xml:space="preserve">Impact on WUS. Currently, PDCCH monitoring </w:t>
      </w:r>
      <w:r w:rsidR="005B694B">
        <w:rPr>
          <w:rFonts w:ascii="Times New Roman" w:hAnsi="Times New Roman"/>
          <w:color w:val="000000"/>
        </w:rPr>
        <w:t xml:space="preserve">related specification in RAN1 </w:t>
      </w:r>
      <w:r>
        <w:rPr>
          <w:rFonts w:ascii="Times New Roman" w:hAnsi="Times New Roman"/>
          <w:color w:val="000000"/>
        </w:rPr>
        <w:t>is capture</w:t>
      </w:r>
      <w:r w:rsidR="005B694B">
        <w:rPr>
          <w:rFonts w:ascii="Times New Roman" w:hAnsi="Times New Roman"/>
          <w:color w:val="000000"/>
        </w:rPr>
        <w:t>d</w:t>
      </w:r>
      <w:r>
        <w:rPr>
          <w:rFonts w:ascii="Times New Roman" w:hAnsi="Times New Roman"/>
          <w:color w:val="000000"/>
        </w:rPr>
        <w:t xml:space="preserve"> in 38.213. We believe some modification to 38.213 might be inevitable</w:t>
      </w:r>
      <w:r w:rsidR="004E7D46">
        <w:rPr>
          <w:rFonts w:ascii="Times New Roman" w:hAnsi="Times New Roman"/>
          <w:color w:val="000000"/>
        </w:rPr>
        <w:t xml:space="preserve"> based on RAN2 secondary DRX group design, especially the interaction with WUS</w:t>
      </w:r>
      <w:r>
        <w:rPr>
          <w:rFonts w:ascii="Times New Roman" w:hAnsi="Times New Roman"/>
          <w:color w:val="000000"/>
        </w:rPr>
        <w:t xml:space="preserve">. However, the main design task for secondary DRX group with WUS is to specify the active time for each cell when one DRX cycle may correspond to multiple WUS occasions, for example, when we </w:t>
      </w:r>
      <w:r w:rsidR="00EE0ECD">
        <w:rPr>
          <w:rFonts w:ascii="Times New Roman" w:hAnsi="Times New Roman"/>
          <w:color w:val="000000"/>
        </w:rPr>
        <w:t>consider</w:t>
      </w:r>
      <w:r>
        <w:rPr>
          <w:rFonts w:ascii="Times New Roman" w:hAnsi="Times New Roman"/>
          <w:color w:val="000000"/>
        </w:rPr>
        <w:t xml:space="preserve"> the typical use case that FR1 cells can be configured with short DRX cycle and FR2 cells can be configured with long DRX cycles. This can be design task for RAN2 and will be captured in RAN2 specification 38.321.</w:t>
      </w:r>
    </w:p>
    <w:p w14:paraId="48A103B2" w14:textId="471D5D12" w:rsidR="004353C0" w:rsidRPr="00B243E4" w:rsidRDefault="002579EB" w:rsidP="002579EB">
      <w:pPr>
        <w:pStyle w:val="ListParagraph"/>
        <w:rPr>
          <w:rFonts w:ascii="Times New Roman" w:hAnsi="Times New Roman"/>
          <w:color w:val="000000"/>
        </w:rPr>
      </w:pPr>
      <w:r w:rsidRPr="00B243E4">
        <w:rPr>
          <w:color w:val="000000"/>
        </w:rPr>
        <w:t xml:space="preserve"> </w:t>
      </w:r>
    </w:p>
    <w:p w14:paraId="2ED20849" w14:textId="22E124DF" w:rsidR="0047691F" w:rsidRDefault="00506329" w:rsidP="00506329">
      <w:pPr>
        <w:pStyle w:val="ListParagraph"/>
        <w:numPr>
          <w:ilvl w:val="0"/>
          <w:numId w:val="41"/>
        </w:numPr>
        <w:rPr>
          <w:rFonts w:ascii="Times New Roman" w:hAnsi="Times New Roman"/>
          <w:color w:val="000000"/>
        </w:rPr>
      </w:pPr>
      <w:r w:rsidRPr="00506329">
        <w:rPr>
          <w:rFonts w:ascii="Times New Roman" w:hAnsi="Times New Roman"/>
          <w:color w:val="000000"/>
        </w:rPr>
        <w:t xml:space="preserve">The potential impact on CSI measurement and report. </w:t>
      </w:r>
      <w:r>
        <w:rPr>
          <w:rFonts w:ascii="Times New Roman" w:hAnsi="Times New Roman"/>
          <w:color w:val="000000"/>
        </w:rPr>
        <w:t xml:space="preserve">As long as active time can be clearly defined for each CC which is a design task for RAN2 and which is also captured in RAN2 </w:t>
      </w:r>
      <w:r w:rsidR="005146A3">
        <w:rPr>
          <w:rFonts w:ascii="Times New Roman" w:hAnsi="Times New Roman"/>
          <w:color w:val="000000"/>
        </w:rPr>
        <w:t>specification</w:t>
      </w:r>
      <w:r>
        <w:rPr>
          <w:rFonts w:ascii="Times New Roman" w:hAnsi="Times New Roman"/>
          <w:color w:val="000000"/>
        </w:rPr>
        <w:t xml:space="preserve"> 38.321, we do not see </w:t>
      </w:r>
      <w:r w:rsidR="00821065">
        <w:rPr>
          <w:rFonts w:ascii="Times New Roman" w:hAnsi="Times New Roman"/>
          <w:color w:val="000000"/>
        </w:rPr>
        <w:t xml:space="preserve">impact on the RAN1 specification </w:t>
      </w:r>
      <w:r w:rsidRPr="00506329">
        <w:rPr>
          <w:rFonts w:ascii="Times New Roman" w:hAnsi="Times New Roman"/>
          <w:color w:val="000000"/>
        </w:rPr>
        <w:t>since it is clear that UE does not need to measure CSI reference signal unless it is in active time</w:t>
      </w:r>
      <w:r w:rsidR="0047691F">
        <w:rPr>
          <w:rFonts w:ascii="Times New Roman" w:hAnsi="Times New Roman"/>
          <w:color w:val="000000"/>
        </w:rPr>
        <w:t>. For CSI reporting, 38.214 is also clear whether UE needs to report CSI reporting based on RRC parameters. We quoted the related 38.214 as below</w:t>
      </w:r>
    </w:p>
    <w:p w14:paraId="4A46CBE2" w14:textId="77777777" w:rsidR="0047691F" w:rsidRDefault="0047691F" w:rsidP="0047691F">
      <w:pPr>
        <w:pStyle w:val="ListParagraph"/>
        <w:rPr>
          <w:rFonts w:ascii="Times New Roman" w:hAnsi="Times New Roman"/>
          <w:color w:val="000000"/>
        </w:rPr>
      </w:pPr>
    </w:p>
    <w:tbl>
      <w:tblPr>
        <w:tblStyle w:val="TableGrid"/>
        <w:tblW w:w="0" w:type="auto"/>
        <w:tblInd w:w="720" w:type="dxa"/>
        <w:tblLook w:val="04A0" w:firstRow="1" w:lastRow="0" w:firstColumn="1" w:lastColumn="0" w:noHBand="0" w:noVBand="1"/>
      </w:tblPr>
      <w:tblGrid>
        <w:gridCol w:w="8909"/>
      </w:tblGrid>
      <w:tr w:rsidR="0047691F" w14:paraId="3A6522F8" w14:textId="77777777" w:rsidTr="0047691F">
        <w:tc>
          <w:tcPr>
            <w:tcW w:w="9629" w:type="dxa"/>
          </w:tcPr>
          <w:p w14:paraId="4C30EE77" w14:textId="31962523" w:rsidR="0047691F" w:rsidRDefault="0047691F" w:rsidP="0047691F">
            <w:pPr>
              <w:pStyle w:val="ListParagraph"/>
              <w:ind w:left="0"/>
              <w:rPr>
                <w:rFonts w:ascii="Times New Roman" w:hAnsi="Times New Roman"/>
                <w:color w:val="000000"/>
              </w:rPr>
            </w:pPr>
            <w:r>
              <w:rPr>
                <w:rFonts w:ascii="Times New Roman" w:hAnsi="Times New Roman"/>
                <w:noProof/>
                <w:color w:val="000000"/>
              </w:rPr>
              <w:drawing>
                <wp:inline distT="0" distB="0" distL="0" distR="0" wp14:anchorId="681B8428" wp14:editId="1EAB4211">
                  <wp:extent cx="6120765" cy="1624965"/>
                  <wp:effectExtent l="0" t="0" r="635" b="635"/>
                  <wp:docPr id="8" name="Picture 8" descr="A picture containing person, text, news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20-03-11 at 1.44.03 PM.png"/>
                          <pic:cNvPicPr/>
                        </pic:nvPicPr>
                        <pic:blipFill>
                          <a:blip r:embed="rId9"/>
                          <a:stretch>
                            <a:fillRect/>
                          </a:stretch>
                        </pic:blipFill>
                        <pic:spPr>
                          <a:xfrm>
                            <a:off x="0" y="0"/>
                            <a:ext cx="6120765" cy="1624965"/>
                          </a:xfrm>
                          <a:prstGeom prst="rect">
                            <a:avLst/>
                          </a:prstGeom>
                        </pic:spPr>
                      </pic:pic>
                    </a:graphicData>
                  </a:graphic>
                </wp:inline>
              </w:drawing>
            </w:r>
          </w:p>
          <w:p w14:paraId="62192964" w14:textId="77777777" w:rsidR="0047691F" w:rsidRDefault="0047691F" w:rsidP="0047691F">
            <w:pPr>
              <w:pStyle w:val="ListParagraph"/>
              <w:ind w:left="0"/>
              <w:rPr>
                <w:rFonts w:ascii="Times New Roman" w:hAnsi="Times New Roman"/>
                <w:color w:val="000000"/>
              </w:rPr>
            </w:pPr>
          </w:p>
          <w:p w14:paraId="78E107FD" w14:textId="13D15E3E" w:rsidR="0047691F" w:rsidRDefault="0047691F" w:rsidP="0047691F">
            <w:pPr>
              <w:pStyle w:val="ListParagraph"/>
              <w:ind w:left="0"/>
              <w:rPr>
                <w:rFonts w:ascii="Times New Roman" w:hAnsi="Times New Roman"/>
                <w:color w:val="000000"/>
              </w:rPr>
            </w:pPr>
            <w:r>
              <w:rPr>
                <w:rFonts w:ascii="Times New Roman" w:hAnsi="Times New Roman"/>
                <w:noProof/>
                <w:color w:val="000000"/>
              </w:rPr>
              <w:drawing>
                <wp:inline distT="0" distB="0" distL="0" distR="0" wp14:anchorId="73985CEE" wp14:editId="3C137BA2">
                  <wp:extent cx="6120765" cy="664210"/>
                  <wp:effectExtent l="0" t="0" r="635" b="0"/>
                  <wp:docPr id="7" name="Picture 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20-03-11 at 1.43.27 PM.png"/>
                          <pic:cNvPicPr/>
                        </pic:nvPicPr>
                        <pic:blipFill>
                          <a:blip r:embed="rId10"/>
                          <a:stretch>
                            <a:fillRect/>
                          </a:stretch>
                        </pic:blipFill>
                        <pic:spPr>
                          <a:xfrm>
                            <a:off x="0" y="0"/>
                            <a:ext cx="6120765" cy="664210"/>
                          </a:xfrm>
                          <a:prstGeom prst="rect">
                            <a:avLst/>
                          </a:prstGeom>
                        </pic:spPr>
                      </pic:pic>
                    </a:graphicData>
                  </a:graphic>
                </wp:inline>
              </w:drawing>
            </w:r>
          </w:p>
          <w:p w14:paraId="32987EE8" w14:textId="77777777" w:rsidR="00976219" w:rsidRDefault="00976219" w:rsidP="0047691F">
            <w:pPr>
              <w:pStyle w:val="ListParagraph"/>
              <w:ind w:left="0"/>
              <w:rPr>
                <w:rFonts w:ascii="Times New Roman" w:hAnsi="Times New Roman"/>
                <w:color w:val="000000"/>
              </w:rPr>
            </w:pPr>
          </w:p>
          <w:p w14:paraId="3EFE3C89" w14:textId="2E9AC7AC" w:rsidR="00976219" w:rsidRDefault="0047691F" w:rsidP="0047691F">
            <w:pPr>
              <w:pStyle w:val="ListParagraph"/>
              <w:ind w:left="0"/>
              <w:rPr>
                <w:rFonts w:ascii="Times New Roman" w:hAnsi="Times New Roman"/>
                <w:color w:val="000000"/>
              </w:rPr>
            </w:pPr>
            <w:r>
              <w:rPr>
                <w:rFonts w:ascii="Times New Roman" w:hAnsi="Times New Roman"/>
                <w:noProof/>
                <w:color w:val="000000"/>
              </w:rPr>
              <w:drawing>
                <wp:inline distT="0" distB="0" distL="0" distR="0" wp14:anchorId="5B27E1BD" wp14:editId="028ECDBE">
                  <wp:extent cx="6120765" cy="34417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3-11 at 1.42.54 PM.png"/>
                          <pic:cNvPicPr/>
                        </pic:nvPicPr>
                        <pic:blipFill>
                          <a:blip r:embed="rId11"/>
                          <a:stretch>
                            <a:fillRect/>
                          </a:stretch>
                        </pic:blipFill>
                        <pic:spPr>
                          <a:xfrm>
                            <a:off x="0" y="0"/>
                            <a:ext cx="6120765" cy="344170"/>
                          </a:xfrm>
                          <a:prstGeom prst="rect">
                            <a:avLst/>
                          </a:prstGeom>
                        </pic:spPr>
                      </pic:pic>
                    </a:graphicData>
                  </a:graphic>
                </wp:inline>
              </w:drawing>
            </w:r>
          </w:p>
        </w:tc>
      </w:tr>
    </w:tbl>
    <w:p w14:paraId="70FE5657" w14:textId="77777777" w:rsidR="00AB78C0" w:rsidRDefault="00AB78C0" w:rsidP="00AB78C0">
      <w:pPr>
        <w:pStyle w:val="ListParagraph"/>
        <w:rPr>
          <w:rFonts w:ascii="Times New Roman" w:hAnsi="Times New Roman"/>
          <w:color w:val="000000"/>
        </w:rPr>
      </w:pPr>
    </w:p>
    <w:p w14:paraId="22E2CCDC" w14:textId="43D4C8CE" w:rsidR="00EA061C" w:rsidRDefault="00AB78C0" w:rsidP="00AB78C0">
      <w:pPr>
        <w:pStyle w:val="ListParagraph"/>
        <w:numPr>
          <w:ilvl w:val="0"/>
          <w:numId w:val="41"/>
        </w:numPr>
        <w:rPr>
          <w:rFonts w:ascii="Times New Roman" w:hAnsi="Times New Roman"/>
          <w:color w:val="000000"/>
        </w:rPr>
      </w:pPr>
      <w:r>
        <w:rPr>
          <w:rFonts w:ascii="Times New Roman" w:hAnsi="Times New Roman"/>
          <w:color w:val="000000"/>
        </w:rPr>
        <w:t xml:space="preserve">The potential impact on SCell dormancy behavior. It was agreed that WUS can only be configured on SpCell, i.e. PCell on MCG or PSCell on SCG. </w:t>
      </w:r>
      <w:r>
        <w:rPr>
          <w:rFonts w:ascii="Times New Roman" w:eastAsia="Times New Roman" w:hAnsi="Times New Roman"/>
          <w:color w:val="000000"/>
          <w:lang w:eastAsia="zh-CN"/>
        </w:rPr>
        <w:t xml:space="preserve">We </w:t>
      </w:r>
      <w:r w:rsidR="00506329" w:rsidRPr="00506329">
        <w:rPr>
          <w:rFonts w:ascii="Times New Roman" w:hAnsi="Times New Roman"/>
          <w:color w:val="000000"/>
        </w:rPr>
        <w:t>believe dormancy behavior handles the power saving in a larger time scale, but more efficient than SCell activation and deactivation.</w:t>
      </w:r>
      <w:r>
        <w:rPr>
          <w:rFonts w:ascii="Times New Roman" w:hAnsi="Times New Roman"/>
          <w:color w:val="000000"/>
        </w:rPr>
        <w:t xml:space="preserve"> We don’t think </w:t>
      </w:r>
      <w:r w:rsidR="00506329" w:rsidRPr="00506329">
        <w:rPr>
          <w:rFonts w:ascii="Times New Roman" w:hAnsi="Times New Roman"/>
          <w:color w:val="000000"/>
        </w:rPr>
        <w:t xml:space="preserve">dormancy </w:t>
      </w:r>
      <w:r w:rsidR="00CB7148">
        <w:rPr>
          <w:rFonts w:ascii="Times New Roman" w:hAnsi="Times New Roman"/>
          <w:color w:val="000000"/>
        </w:rPr>
        <w:t xml:space="preserve">operation </w:t>
      </w:r>
      <w:r w:rsidR="00506329" w:rsidRPr="00506329">
        <w:rPr>
          <w:rFonts w:ascii="Times New Roman" w:hAnsi="Times New Roman"/>
          <w:color w:val="000000"/>
        </w:rPr>
        <w:t>has to rely on</w:t>
      </w:r>
      <w:r w:rsidR="00CE2255">
        <w:rPr>
          <w:rFonts w:ascii="Times New Roman" w:hAnsi="Times New Roman"/>
          <w:color w:val="000000"/>
        </w:rPr>
        <w:t xml:space="preserve"> the condition that</w:t>
      </w:r>
      <w:r w:rsidR="00506329" w:rsidRPr="00506329">
        <w:rPr>
          <w:rFonts w:ascii="Times New Roman" w:hAnsi="Times New Roman"/>
          <w:color w:val="000000"/>
        </w:rPr>
        <w:t xml:space="preserve"> SCell follow</w:t>
      </w:r>
      <w:r w:rsidR="003D1080">
        <w:rPr>
          <w:rFonts w:ascii="Times New Roman" w:hAnsi="Times New Roman"/>
          <w:color w:val="000000"/>
        </w:rPr>
        <w:t>s</w:t>
      </w:r>
      <w:r w:rsidR="00506329" w:rsidRPr="00506329">
        <w:rPr>
          <w:rFonts w:ascii="Times New Roman" w:hAnsi="Times New Roman"/>
          <w:color w:val="000000"/>
        </w:rPr>
        <w:t xml:space="preserve"> the same CDRX </w:t>
      </w:r>
      <w:r w:rsidR="0049647A">
        <w:rPr>
          <w:rFonts w:ascii="Times New Roman" w:hAnsi="Times New Roman"/>
          <w:color w:val="000000"/>
        </w:rPr>
        <w:t xml:space="preserve">configuration </w:t>
      </w:r>
      <w:r w:rsidR="00506329" w:rsidRPr="00506329">
        <w:rPr>
          <w:rFonts w:ascii="Times New Roman" w:hAnsi="Times New Roman"/>
          <w:color w:val="000000"/>
        </w:rPr>
        <w:t xml:space="preserve">as PCell. </w:t>
      </w:r>
      <w:r w:rsidR="00EA061C">
        <w:rPr>
          <w:rFonts w:ascii="Times New Roman" w:hAnsi="Times New Roman"/>
          <w:color w:val="000000"/>
        </w:rPr>
        <w:t xml:space="preserve">Therefore, we don’t </w:t>
      </w:r>
      <w:r w:rsidR="008F6925">
        <w:rPr>
          <w:rFonts w:ascii="Times New Roman" w:hAnsi="Times New Roman"/>
          <w:color w:val="000000"/>
        </w:rPr>
        <w:t>think</w:t>
      </w:r>
      <w:r w:rsidR="00EA061C">
        <w:rPr>
          <w:rFonts w:ascii="Times New Roman" w:hAnsi="Times New Roman"/>
          <w:color w:val="000000"/>
        </w:rPr>
        <w:t xml:space="preserve"> there is impact of secondary DRX group on SCell dormancy </w:t>
      </w:r>
    </w:p>
    <w:p w14:paraId="7E219E6C" w14:textId="77777777" w:rsidR="00506329" w:rsidRPr="00506329" w:rsidRDefault="00506329" w:rsidP="00506329">
      <w:pPr>
        <w:rPr>
          <w:color w:val="000000"/>
          <w:sz w:val="22"/>
          <w:szCs w:val="22"/>
        </w:rPr>
      </w:pPr>
    </w:p>
    <w:p w14:paraId="09A5259D" w14:textId="77777777" w:rsidR="00D0293F" w:rsidRDefault="00D0293F" w:rsidP="00506329">
      <w:pPr>
        <w:rPr>
          <w:color w:val="000000"/>
          <w:sz w:val="22"/>
          <w:szCs w:val="22"/>
        </w:rPr>
      </w:pPr>
      <w:r>
        <w:rPr>
          <w:color w:val="000000"/>
          <w:sz w:val="22"/>
          <w:szCs w:val="22"/>
        </w:rPr>
        <w:t xml:space="preserve">Based on the above discussion, we have the following observation </w:t>
      </w:r>
    </w:p>
    <w:p w14:paraId="70D25E6A" w14:textId="77777777" w:rsidR="00D0293F" w:rsidRDefault="00D0293F" w:rsidP="00D0293F">
      <w:pPr>
        <w:jc w:val="both"/>
        <w:rPr>
          <w:rFonts w:cs="v4.2.0"/>
          <w:b/>
          <w:bCs/>
          <w:i/>
          <w:iCs/>
        </w:rPr>
      </w:pPr>
    </w:p>
    <w:p w14:paraId="195828DF" w14:textId="77777777" w:rsidR="00D0293F" w:rsidRDefault="00D0293F" w:rsidP="00D0293F">
      <w:pPr>
        <w:jc w:val="both"/>
        <w:rPr>
          <w:rFonts w:cs="v4.2.0"/>
          <w:b/>
          <w:bCs/>
          <w:i/>
          <w:iCs/>
        </w:rPr>
      </w:pPr>
      <w:r>
        <w:rPr>
          <w:rFonts w:cs="v4.2.0"/>
          <w:b/>
          <w:bCs/>
          <w:i/>
          <w:iCs/>
        </w:rPr>
        <w:t>Observation</w:t>
      </w:r>
      <w:r w:rsidRPr="00DD4798">
        <w:rPr>
          <w:rFonts w:cs="v4.2.0"/>
          <w:b/>
          <w:bCs/>
          <w:i/>
          <w:iCs/>
        </w:rPr>
        <w:t xml:space="preserve">: </w:t>
      </w:r>
      <w:r>
        <w:rPr>
          <w:rFonts w:cs="v4.2.0"/>
          <w:b/>
          <w:bCs/>
          <w:i/>
          <w:iCs/>
        </w:rPr>
        <w:t>Impact of secondary DRX group on RAN1, if exists, is acceptable</w:t>
      </w:r>
    </w:p>
    <w:p w14:paraId="30DB5C8E" w14:textId="56A2AC17" w:rsidR="00477D26" w:rsidRDefault="00477D26" w:rsidP="00477D26">
      <w:pPr>
        <w:pStyle w:val="Heading2"/>
      </w:pPr>
      <w:r>
        <w:t>RAN4 view</w:t>
      </w:r>
    </w:p>
    <w:p w14:paraId="5207C947" w14:textId="02EC49C0" w:rsidR="00D84F49" w:rsidRDefault="00D84F49" w:rsidP="00D84F49">
      <w:pPr>
        <w:jc w:val="both"/>
        <w:rPr>
          <w:rFonts w:cs="v4.2.0"/>
        </w:rPr>
      </w:pPr>
      <w:r>
        <w:rPr>
          <w:rFonts w:cs="v4.2.0"/>
        </w:rPr>
        <w:t xml:space="preserve">In order to consider the dual DRX case, we can compare this case with dual DRX for DC. In the current RRM requirements, there are two main aspects which will probably be impacted by introducing second DRX group for FR2 in FR1+FR2 CA: cell identification/measurement and interruption requirement. </w:t>
      </w:r>
    </w:p>
    <w:p w14:paraId="3DD5F4A3" w14:textId="77777777" w:rsidR="00B47CE7" w:rsidRDefault="00B47CE7" w:rsidP="00D84F49">
      <w:pPr>
        <w:jc w:val="both"/>
        <w:rPr>
          <w:rFonts w:cs="v4.2.0"/>
        </w:rPr>
      </w:pPr>
    </w:p>
    <w:p w14:paraId="0FC18EC6" w14:textId="7054C100" w:rsidR="00D84F49" w:rsidRDefault="00D84F49" w:rsidP="00D84F49">
      <w:pPr>
        <w:jc w:val="both"/>
        <w:rPr>
          <w:rFonts w:cs="v4.2.0"/>
        </w:rPr>
      </w:pPr>
      <w:r>
        <w:rPr>
          <w:rFonts w:cs="v4.2.0"/>
        </w:rPr>
        <w:t xml:space="preserve">The cell identification/measurement includes all measurement related UE activities, e.g. cell identification on SCC, cell measurement on SCC, deactivated SCell measurement and so on. However, if DRX is used, all of those requirement are based on DRX cycle. </w:t>
      </w:r>
      <w:r w:rsidRPr="008B41B3">
        <w:rPr>
          <w:rFonts w:cs="v4.2.0"/>
        </w:rPr>
        <w:t>Based on the RAN2 solution</w:t>
      </w:r>
      <w:r>
        <w:rPr>
          <w:rFonts w:cs="v4.2.0"/>
        </w:rPr>
        <w:t xml:space="preserve">, only two configurations of second DRX can be different from FR1 CC DRX: </w:t>
      </w:r>
      <w:r w:rsidRPr="008B41B3">
        <w:rPr>
          <w:rFonts w:cs="v4.2.0"/>
          <w:i/>
          <w:iCs/>
        </w:rPr>
        <w:t>drx-InactivityTimer</w:t>
      </w:r>
      <w:r w:rsidRPr="008B41B3">
        <w:rPr>
          <w:rFonts w:cs="v4.2.0"/>
        </w:rPr>
        <w:t xml:space="preserve"> and </w:t>
      </w:r>
      <w:r w:rsidRPr="008B41B3">
        <w:rPr>
          <w:rFonts w:cs="v4.2.0"/>
          <w:i/>
          <w:iCs/>
        </w:rPr>
        <w:t>drx-OnDurationTimer</w:t>
      </w:r>
      <w:r w:rsidRPr="008B41B3">
        <w:rPr>
          <w:rFonts w:cs="v4.2.0"/>
        </w:rPr>
        <w:t>,</w:t>
      </w:r>
      <w:r>
        <w:rPr>
          <w:rFonts w:cs="v4.2.0"/>
        </w:rPr>
        <w:t xml:space="preserve"> and therefore the second DRX would have the same starting point and cycle periodicity as first DRX on the time domain, which was illustrated in the figure of RAN2 LS. Since</w:t>
      </w:r>
      <w:r w:rsidR="00166384">
        <w:rPr>
          <w:rFonts w:cs="v4.2.0"/>
        </w:rPr>
        <w:t>,</w:t>
      </w:r>
      <w:r>
        <w:rPr>
          <w:rFonts w:cs="v4.2.0"/>
        </w:rPr>
        <w:t xml:space="preserve"> in RAN2 design</w:t>
      </w:r>
      <w:r w:rsidR="00166384">
        <w:rPr>
          <w:rFonts w:cs="v4.2.0"/>
        </w:rPr>
        <w:t>,</w:t>
      </w:r>
      <w:r>
        <w:rPr>
          <w:rFonts w:cs="v4.2.0"/>
        </w:rPr>
        <w:t xml:space="preserve"> first DRX on FR1 CC will always have same DRX cycle as second DRX on FR2 CC and all RRM requirements of measurement are based on DRX cycle, it will not have any impact on identification/measurement related requirement in DRX status.</w:t>
      </w:r>
    </w:p>
    <w:p w14:paraId="6010CAB9" w14:textId="77777777" w:rsidR="00D95B5A" w:rsidRDefault="00D95B5A" w:rsidP="00D84F49">
      <w:pPr>
        <w:jc w:val="both"/>
        <w:rPr>
          <w:rFonts w:cs="v4.2.0"/>
        </w:rPr>
      </w:pPr>
    </w:p>
    <w:p w14:paraId="0F8EFD93" w14:textId="4EFAC9AA" w:rsidR="00D84F49" w:rsidRDefault="00D84F49" w:rsidP="00D84F49">
      <w:pPr>
        <w:jc w:val="both"/>
        <w:rPr>
          <w:rFonts w:cs="v4.2.0"/>
          <w:b/>
          <w:bCs/>
          <w:i/>
          <w:iCs/>
        </w:rPr>
      </w:pPr>
      <w:r>
        <w:rPr>
          <w:rFonts w:cs="v4.2.0"/>
          <w:b/>
          <w:bCs/>
          <w:i/>
          <w:iCs/>
        </w:rPr>
        <w:t>Observatio</w:t>
      </w:r>
      <w:r w:rsidR="009137F9">
        <w:rPr>
          <w:rFonts w:cs="v4.2.0"/>
          <w:b/>
          <w:bCs/>
          <w:i/>
          <w:iCs/>
        </w:rPr>
        <w:t>n</w:t>
      </w:r>
      <w:r w:rsidRPr="00DD4798">
        <w:rPr>
          <w:rFonts w:cs="v4.2.0"/>
          <w:b/>
          <w:bCs/>
          <w:i/>
          <w:iCs/>
        </w:rPr>
        <w:t xml:space="preserve">: </w:t>
      </w:r>
      <w:r>
        <w:rPr>
          <w:rFonts w:cs="v4.2.0"/>
          <w:b/>
          <w:bCs/>
          <w:i/>
          <w:iCs/>
        </w:rPr>
        <w:t>S</w:t>
      </w:r>
      <w:r w:rsidRPr="00DD4798">
        <w:rPr>
          <w:rFonts w:cs="v4.2.0"/>
          <w:b/>
          <w:bCs/>
          <w:i/>
          <w:iCs/>
        </w:rPr>
        <w:t xml:space="preserve">econd DRX group on FR2 CC will not impact any </w:t>
      </w:r>
      <w:r>
        <w:rPr>
          <w:rFonts w:cs="v4.2.0"/>
          <w:b/>
          <w:bCs/>
          <w:i/>
          <w:iCs/>
        </w:rPr>
        <w:t>identification/</w:t>
      </w:r>
      <w:r w:rsidRPr="00DD4798">
        <w:rPr>
          <w:rFonts w:cs="v4.2.0"/>
          <w:b/>
          <w:bCs/>
          <w:i/>
          <w:iCs/>
        </w:rPr>
        <w:t>measurement related requirements in DRX status for RAN4, e.g., cell identification on SCC, cell measurement on SCC, deactivated SCell measurement and so on.</w:t>
      </w:r>
    </w:p>
    <w:p w14:paraId="02B24B10" w14:textId="77777777" w:rsidR="00090D12" w:rsidRDefault="00090D12" w:rsidP="00D84F49">
      <w:pPr>
        <w:jc w:val="both"/>
        <w:rPr>
          <w:rFonts w:cs="v4.2.0"/>
          <w:b/>
          <w:bCs/>
          <w:i/>
          <w:iCs/>
        </w:rPr>
      </w:pPr>
    </w:p>
    <w:p w14:paraId="43B504D4" w14:textId="558023FB" w:rsidR="00D84F49" w:rsidRPr="00CF215A" w:rsidRDefault="00FB6CF1" w:rsidP="00674B62">
      <w:pPr>
        <w:jc w:val="both"/>
        <w:rPr>
          <w:rFonts w:cs="v4.2.0"/>
          <w:b/>
          <w:bCs/>
          <w:i/>
          <w:iCs/>
        </w:rPr>
      </w:pPr>
      <w:r>
        <w:rPr>
          <w:rFonts w:cs="v4.2.0"/>
        </w:rPr>
        <w:t xml:space="preserve">In RAN4, </w:t>
      </w:r>
      <w:r w:rsidR="00D84F49">
        <w:rPr>
          <w:rFonts w:cs="v4.2.0"/>
        </w:rPr>
        <w:t xml:space="preserve">if dual DRX is configured in EN-DC, no interruption is allowed. Coming to FR1+FR2 CA case, we also think interruption shall not be allowed in the DRX on-duration time because that would remarkably impact the UE and system performance and that’s the motivation to avoid interruption for dual DRX case in EN-DC. </w:t>
      </w:r>
      <w:r w:rsidR="006B26C0">
        <w:rPr>
          <w:rFonts w:cs="v4.2.0"/>
        </w:rPr>
        <w:t>To remove the requirement on interruption time, it is closely related to</w:t>
      </w:r>
      <w:r w:rsidR="00C85617">
        <w:rPr>
          <w:rFonts w:cs="v4.2.0"/>
        </w:rPr>
        <w:t xml:space="preserve"> capability</w:t>
      </w:r>
      <w:r w:rsidR="006B26C0">
        <w:rPr>
          <w:rFonts w:cs="v4.2.0"/>
        </w:rPr>
        <w:t xml:space="preserve"> whether UE can support per-FR Measurement Gap (MG), which is RAN4 Rel-15 FG 3-1, i.e. </w:t>
      </w:r>
      <w:r w:rsidR="00262DA0" w:rsidRPr="00262DA0">
        <w:rPr>
          <w:rFonts w:cs="v4.2.0"/>
          <w:i/>
          <w:iCs/>
        </w:rPr>
        <w:t>independentGapConfig</w:t>
      </w:r>
      <w:r w:rsidR="00262DA0">
        <w:rPr>
          <w:rFonts w:cs="v4.2.0"/>
        </w:rPr>
        <w:t xml:space="preserve">. For UE that supports per-FR MG, UE can </w:t>
      </w:r>
      <w:r w:rsidR="00D84F49">
        <w:rPr>
          <w:rFonts w:cs="v4.2.0"/>
        </w:rPr>
        <w:t>toggle RF individually on FR1 CC and FR2 CC to save power</w:t>
      </w:r>
      <w:r w:rsidR="00262DA0">
        <w:rPr>
          <w:rFonts w:cs="v4.2.0"/>
        </w:rPr>
        <w:t>,</w:t>
      </w:r>
      <w:r w:rsidR="00D84F49">
        <w:rPr>
          <w:rFonts w:cs="v4.2.0"/>
        </w:rPr>
        <w:t xml:space="preserve"> </w:t>
      </w:r>
      <w:r w:rsidR="00262DA0">
        <w:rPr>
          <w:rFonts w:cs="v4.2.0"/>
        </w:rPr>
        <w:t>a</w:t>
      </w:r>
      <w:r w:rsidR="00D84F49">
        <w:rPr>
          <w:rFonts w:cs="v4.2.0"/>
        </w:rPr>
        <w:t>nd meanwhile</w:t>
      </w:r>
      <w:r w:rsidR="00262DA0">
        <w:rPr>
          <w:rFonts w:cs="v4.2.0"/>
        </w:rPr>
        <w:t>,</w:t>
      </w:r>
      <w:r w:rsidR="00D84F49">
        <w:rPr>
          <w:rFonts w:cs="v4.2.0"/>
        </w:rPr>
        <w:t xml:space="preserve"> we don’t expect interruption within any DRX on-duration</w:t>
      </w:r>
      <w:r w:rsidR="00674B62">
        <w:rPr>
          <w:rFonts w:cs="v4.2.0"/>
        </w:rPr>
        <w:t>.</w:t>
      </w:r>
    </w:p>
    <w:p w14:paraId="39B0E32B" w14:textId="2089BD31" w:rsidR="00D84F49" w:rsidRDefault="00D84F49" w:rsidP="00D84F49"/>
    <w:p w14:paraId="2F6BF9B3" w14:textId="71C3402D" w:rsidR="00087D0B" w:rsidRDefault="00D84F49" w:rsidP="00D84F49">
      <w:r>
        <w:t xml:space="preserve">Based on the above discussion, to avoid unnecessary delay and potential delay due to LS between RAN2 and RAN1/RAN4, we have the following </w:t>
      </w:r>
      <w:r w:rsidR="0028560F">
        <w:t>observat</w:t>
      </w:r>
      <w:r w:rsidR="00087D0B">
        <w:t>ion</w:t>
      </w:r>
    </w:p>
    <w:p w14:paraId="6A820059" w14:textId="77777777" w:rsidR="00087D0B" w:rsidRDefault="00087D0B" w:rsidP="00D84F49"/>
    <w:p w14:paraId="5F2BB89F" w14:textId="4B54EA02" w:rsidR="00D84F49" w:rsidRDefault="00087D0B" w:rsidP="00D84F49">
      <w:r>
        <w:rPr>
          <w:rFonts w:cs="v4.2.0"/>
          <w:b/>
          <w:bCs/>
          <w:i/>
          <w:iCs/>
        </w:rPr>
        <w:t>Observation: T</w:t>
      </w:r>
      <w:r w:rsidRPr="00CF215A">
        <w:rPr>
          <w:rFonts w:cs="v4.2.0"/>
          <w:b/>
          <w:bCs/>
          <w:i/>
          <w:iCs/>
        </w:rPr>
        <w:t>o serve power saving purpose, the secondary DRX group on FR2 CC for FR1 + FR2 CA is only supportable to the UE with per-FR MG capability, and no new interruption requirement will be introduced in RAN4.</w:t>
      </w:r>
      <w:r>
        <w:t xml:space="preserve"> </w:t>
      </w:r>
    </w:p>
    <w:p w14:paraId="18E229C8" w14:textId="37699388" w:rsidR="00F3409A" w:rsidRDefault="00F3409A" w:rsidP="00D84F49"/>
    <w:p w14:paraId="684DA9E3" w14:textId="6934DA7D" w:rsidR="00F3409A" w:rsidRDefault="00F3409A" w:rsidP="00D84F49">
      <w:r>
        <w:t>Based on the discussion of our view from WG RAN1/2/4</w:t>
      </w:r>
      <w:r w:rsidR="00AD14A5">
        <w:t xml:space="preserve"> on the secondary DRX group</w:t>
      </w:r>
      <w:r>
        <w:t>, we have the following proposal</w:t>
      </w:r>
    </w:p>
    <w:p w14:paraId="12AFEFE7" w14:textId="77777777" w:rsidR="00EA45ED" w:rsidRDefault="00EA45ED" w:rsidP="00F3409A">
      <w:pPr>
        <w:rPr>
          <w:rFonts w:eastAsia="MS Mincho"/>
          <w:b/>
          <w:i/>
          <w:sz w:val="22"/>
          <w:u w:val="single"/>
          <w:lang w:eastAsia="ja-JP"/>
        </w:rPr>
      </w:pPr>
    </w:p>
    <w:p w14:paraId="6116FCDF" w14:textId="49EFE1A2" w:rsidR="00EA45ED" w:rsidRDefault="00F3409A" w:rsidP="00F3409A">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1</w:t>
      </w:r>
      <w:r w:rsidRPr="008E1F52">
        <w:rPr>
          <w:rFonts w:eastAsia="MS Mincho"/>
          <w:b/>
          <w:i/>
          <w:sz w:val="22"/>
          <w:u w:val="single"/>
          <w:lang w:eastAsia="ja-JP"/>
        </w:rPr>
        <w:t>:</w:t>
      </w:r>
      <w:r w:rsidRPr="008E1F52">
        <w:rPr>
          <w:rFonts w:eastAsia="MS Mincho"/>
          <w:b/>
          <w:i/>
          <w:sz w:val="22"/>
          <w:lang w:eastAsia="ja-JP"/>
        </w:rPr>
        <w:t xml:space="preserve"> </w:t>
      </w:r>
      <w:r w:rsidRPr="00477D26">
        <w:rPr>
          <w:rFonts w:eastAsia="MS Mincho"/>
          <w:b/>
          <w:i/>
          <w:sz w:val="22"/>
          <w:lang w:eastAsia="ja-JP"/>
        </w:rPr>
        <w:t xml:space="preserve">RAN2 should continue the design and specification of secondary DRX group per cell group, </w:t>
      </w:r>
    </w:p>
    <w:p w14:paraId="6CB5D5A9" w14:textId="49AEBE9C" w:rsidR="00F3409A" w:rsidRPr="004A6718" w:rsidRDefault="00F3409A" w:rsidP="00D84F49">
      <w:pPr>
        <w:rPr>
          <w:rFonts w:eastAsia="MS Mincho"/>
          <w:b/>
          <w:i/>
          <w:sz w:val="22"/>
          <w:lang w:eastAsia="ja-JP"/>
        </w:rPr>
      </w:pPr>
      <w:r w:rsidRPr="00477D26">
        <w:rPr>
          <w:rFonts w:eastAsia="MS Mincho"/>
          <w:b/>
          <w:i/>
          <w:sz w:val="22"/>
          <w:lang w:eastAsia="ja-JP"/>
        </w:rPr>
        <w:lastRenderedPageBreak/>
        <w:t xml:space="preserve">targeting the use case of FR1 and FR2 NR-CA. </w:t>
      </w:r>
      <w:bookmarkStart w:id="2" w:name="_GoBack"/>
      <w:bookmarkEnd w:id="2"/>
    </w:p>
    <w:p w14:paraId="2896E657" w14:textId="7DC86143" w:rsidR="00854A60" w:rsidRPr="00FB330B" w:rsidRDefault="00166384" w:rsidP="00FB330B">
      <w:pPr>
        <w:pStyle w:val="Heading1"/>
      </w:pPr>
      <w:r>
        <w:t xml:space="preserve"> </w:t>
      </w:r>
      <w:r w:rsidR="009C5A97" w:rsidRPr="00FB330B">
        <w:t>Conclusion</w:t>
      </w:r>
    </w:p>
    <w:p w14:paraId="3C6198E8" w14:textId="3C63DCAA" w:rsidR="00A60A4C" w:rsidRPr="00A60A4C" w:rsidRDefault="0022434D" w:rsidP="00B45B04">
      <w:pPr>
        <w:rPr>
          <w:rFonts w:eastAsia="MS Mincho"/>
          <w:sz w:val="22"/>
          <w:szCs w:val="22"/>
          <w:lang w:eastAsia="ja-JP"/>
        </w:rPr>
      </w:pPr>
      <w:r>
        <w:rPr>
          <w:rFonts w:eastAsia="MS Mincho"/>
          <w:sz w:val="22"/>
          <w:szCs w:val="22"/>
          <w:lang w:eastAsia="ja-JP"/>
        </w:rPr>
        <w:t xml:space="preserve">As part of Rel-16 RAN2 TEI, companies start to discuss the introduction of the secondary DRX group in a cell group, especially for the purpose for FR1 and FR2 CA. </w:t>
      </w:r>
      <w:r w:rsidR="00A60A4C">
        <w:rPr>
          <w:rFonts w:eastAsia="MS Mincho"/>
          <w:sz w:val="22"/>
          <w:szCs w:val="22"/>
          <w:lang w:eastAsia="ja-JP"/>
        </w:rPr>
        <w:t xml:space="preserve">The progress of the work in RAN2 is on hold while waiting for LS reply from RAN1 and RAN4. We think this feature is very useful to solve some practical deployment concern of FR2, </w:t>
      </w:r>
      <w:r w:rsidR="00177D1F">
        <w:rPr>
          <w:rFonts w:eastAsia="MS Mincho"/>
          <w:sz w:val="22"/>
          <w:szCs w:val="22"/>
          <w:lang w:eastAsia="ja-JP"/>
        </w:rPr>
        <w:t>allowing</w:t>
      </w:r>
      <w:r w:rsidR="00A60A4C">
        <w:rPr>
          <w:rFonts w:eastAsia="MS Mincho"/>
          <w:sz w:val="22"/>
          <w:szCs w:val="22"/>
          <w:lang w:eastAsia="ja-JP"/>
        </w:rPr>
        <w:t xml:space="preserve"> the device and NW to achieve good coverage and robustness by FR1 and FR2 CA, while still maintain good UE power consumption by allowing FR2 carrier to operate in a more power saving friendly DRX configuration, while FR1 </w:t>
      </w:r>
      <w:r w:rsidR="005313E4">
        <w:rPr>
          <w:rFonts w:eastAsia="MS Mincho"/>
          <w:sz w:val="22"/>
          <w:szCs w:val="22"/>
          <w:lang w:eastAsia="ja-JP"/>
        </w:rPr>
        <w:t xml:space="preserve">carrier to operate with different </w:t>
      </w:r>
      <w:r w:rsidR="00A60A4C">
        <w:rPr>
          <w:rFonts w:eastAsia="MS Mincho"/>
          <w:sz w:val="22"/>
          <w:szCs w:val="22"/>
          <w:lang w:eastAsia="ja-JP"/>
        </w:rPr>
        <w:t xml:space="preserve">DRX configuration </w:t>
      </w:r>
      <w:r w:rsidR="005313E4">
        <w:rPr>
          <w:rFonts w:eastAsia="MS Mincho"/>
          <w:sz w:val="22"/>
          <w:szCs w:val="22"/>
          <w:lang w:eastAsia="ja-JP"/>
        </w:rPr>
        <w:t xml:space="preserve">more </w:t>
      </w:r>
      <w:r w:rsidR="00A60A4C">
        <w:rPr>
          <w:rFonts w:eastAsia="MS Mincho"/>
          <w:sz w:val="22"/>
          <w:szCs w:val="22"/>
          <w:lang w:eastAsia="ja-JP"/>
        </w:rPr>
        <w:t>tailored to ensure low latency data scheduling</w:t>
      </w:r>
      <w:r w:rsidR="001324C2">
        <w:rPr>
          <w:rFonts w:eastAsia="MS Mincho"/>
          <w:sz w:val="22"/>
          <w:szCs w:val="22"/>
          <w:lang w:eastAsia="ja-JP"/>
        </w:rPr>
        <w:t>.</w:t>
      </w:r>
      <w:r w:rsidR="00A60A4C">
        <w:rPr>
          <w:rFonts w:eastAsia="MS Mincho"/>
          <w:sz w:val="22"/>
          <w:szCs w:val="22"/>
          <w:lang w:eastAsia="ja-JP"/>
        </w:rPr>
        <w:t xml:space="preserve"> </w:t>
      </w:r>
      <w:r w:rsidR="00DE27DD">
        <w:rPr>
          <w:rFonts w:eastAsia="MS Mincho"/>
          <w:sz w:val="22"/>
          <w:szCs w:val="22"/>
          <w:lang w:eastAsia="ja-JP"/>
        </w:rPr>
        <w:t xml:space="preserve">The LS between RAN2 and RAN1/RAN4 may cause deadlock and unnecessary delay of this </w:t>
      </w:r>
      <w:r w:rsidR="00BD724D">
        <w:rPr>
          <w:rFonts w:eastAsia="MS Mincho"/>
          <w:sz w:val="22"/>
          <w:szCs w:val="22"/>
          <w:lang w:eastAsia="ja-JP"/>
        </w:rPr>
        <w:t>feature</w:t>
      </w:r>
      <w:r w:rsidR="00DE27DD">
        <w:rPr>
          <w:rFonts w:eastAsia="MS Mincho"/>
          <w:sz w:val="22"/>
          <w:szCs w:val="22"/>
          <w:lang w:eastAsia="ja-JP"/>
        </w:rPr>
        <w:t xml:space="preserve">. </w:t>
      </w:r>
      <w:r w:rsidR="00A60A4C">
        <w:rPr>
          <w:rFonts w:eastAsia="MS Mincho"/>
          <w:sz w:val="22"/>
          <w:lang w:eastAsia="ja-JP"/>
        </w:rPr>
        <w:t>Therefore, we have the following proposal</w:t>
      </w:r>
    </w:p>
    <w:p w14:paraId="180D019B" w14:textId="0355ECF5" w:rsidR="005F6761" w:rsidRDefault="005F6761" w:rsidP="005F6761">
      <w:pPr>
        <w:rPr>
          <w:sz w:val="22"/>
          <w:szCs w:val="22"/>
        </w:rPr>
      </w:pPr>
    </w:p>
    <w:p w14:paraId="66FBE646" w14:textId="67E399DA" w:rsidR="00FB2AC7" w:rsidRDefault="00F92947" w:rsidP="001A3231">
      <w:pPr>
        <w:rPr>
          <w:rFonts w:eastAsia="MS Mincho"/>
          <w:b/>
          <w:i/>
          <w:sz w:val="22"/>
          <w:lang w:eastAsia="ja-JP"/>
        </w:rPr>
      </w:pPr>
      <w:r w:rsidRPr="008E1F52">
        <w:rPr>
          <w:rFonts w:eastAsia="MS Mincho"/>
          <w:b/>
          <w:i/>
          <w:sz w:val="22"/>
          <w:u w:val="single"/>
          <w:lang w:eastAsia="ja-JP"/>
        </w:rPr>
        <w:t xml:space="preserve">Proposal </w:t>
      </w:r>
      <w:r>
        <w:rPr>
          <w:rFonts w:eastAsia="MS Mincho"/>
          <w:b/>
          <w:i/>
          <w:sz w:val="22"/>
          <w:u w:val="single"/>
          <w:lang w:eastAsia="ja-JP"/>
        </w:rPr>
        <w:t>1</w:t>
      </w:r>
      <w:r w:rsidRPr="008E1F52">
        <w:rPr>
          <w:rFonts w:eastAsia="MS Mincho"/>
          <w:b/>
          <w:i/>
          <w:sz w:val="22"/>
          <w:u w:val="single"/>
          <w:lang w:eastAsia="ja-JP"/>
        </w:rPr>
        <w:t>:</w:t>
      </w:r>
      <w:r w:rsidRPr="008E1F52">
        <w:rPr>
          <w:rFonts w:eastAsia="MS Mincho"/>
          <w:b/>
          <w:i/>
          <w:sz w:val="22"/>
          <w:lang w:eastAsia="ja-JP"/>
        </w:rPr>
        <w:t xml:space="preserve"> </w:t>
      </w:r>
      <w:r w:rsidRPr="00477D26">
        <w:rPr>
          <w:rFonts w:eastAsia="MS Mincho"/>
          <w:b/>
          <w:i/>
          <w:sz w:val="22"/>
          <w:lang w:eastAsia="ja-JP"/>
        </w:rPr>
        <w:t xml:space="preserve">RAN2 should continue the design and specification of secondary DRX group per cell group, targeting the use case of FR1 and FR2 NR-CA. </w:t>
      </w:r>
    </w:p>
    <w:p w14:paraId="2E75F001" w14:textId="77777777" w:rsidR="007E70BB" w:rsidRPr="007E70BB" w:rsidRDefault="005C63AE" w:rsidP="007E70BB">
      <w:pPr>
        <w:pStyle w:val="Heading1"/>
      </w:pPr>
      <w:r>
        <w:t>References</w:t>
      </w:r>
    </w:p>
    <w:p w14:paraId="0043F1CA" w14:textId="59796028" w:rsidR="009B7392" w:rsidRPr="00923105" w:rsidRDefault="00081D2D" w:rsidP="00923105">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bCs/>
          <w:sz w:val="22"/>
          <w:szCs w:val="22"/>
        </w:rPr>
      </w:pPr>
      <w:r w:rsidRPr="007C6841">
        <w:rPr>
          <w:bCs/>
          <w:sz w:val="22"/>
          <w:szCs w:val="22"/>
        </w:rPr>
        <w:t>R2-1916597, LS on secondary DRX group, Ericsson, RAN2 #108 meeting</w:t>
      </w:r>
    </w:p>
    <w:sectPr w:rsidR="009B7392" w:rsidRPr="00923105" w:rsidSect="00827761">
      <w:footerReference w:type="defaul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CC0C1" w14:textId="77777777" w:rsidR="00B132E9" w:rsidRDefault="00B132E9">
      <w:r>
        <w:separator/>
      </w:r>
    </w:p>
  </w:endnote>
  <w:endnote w:type="continuationSeparator" w:id="0">
    <w:p w14:paraId="7842201D" w14:textId="77777777" w:rsidR="00B132E9" w:rsidRDefault="00B132E9">
      <w:r>
        <w:continuationSeparator/>
      </w:r>
    </w:p>
  </w:endnote>
  <w:endnote w:type="continuationNotice" w:id="1">
    <w:p w14:paraId="1EE9553D" w14:textId="77777777" w:rsidR="00B132E9" w:rsidRDefault="00B13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62527" w14:textId="77777777" w:rsidR="00B132E9" w:rsidRDefault="00B132E9">
      <w:r>
        <w:separator/>
      </w:r>
    </w:p>
  </w:footnote>
  <w:footnote w:type="continuationSeparator" w:id="0">
    <w:p w14:paraId="06B9D152" w14:textId="77777777" w:rsidR="00B132E9" w:rsidRDefault="00B132E9">
      <w:r>
        <w:continuationSeparator/>
      </w:r>
    </w:p>
  </w:footnote>
  <w:footnote w:type="continuationNotice" w:id="1">
    <w:p w14:paraId="0F04E337" w14:textId="77777777" w:rsidR="00B132E9" w:rsidRDefault="00B132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1181941"/>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229696B"/>
    <w:multiLevelType w:val="hybridMultilevel"/>
    <w:tmpl w:val="27BA8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1948F2"/>
    <w:multiLevelType w:val="hybridMultilevel"/>
    <w:tmpl w:val="CC3EF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F0E93"/>
    <w:multiLevelType w:val="hybridMultilevel"/>
    <w:tmpl w:val="EE747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852B10"/>
    <w:multiLevelType w:val="hybridMultilevel"/>
    <w:tmpl w:val="E0BC3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37" w15:restartNumberingAfterBreak="0">
    <w:nsid w:val="7991087E"/>
    <w:multiLevelType w:val="hybridMultilevel"/>
    <w:tmpl w:val="73A882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AB38F9"/>
    <w:multiLevelType w:val="hybridMultilevel"/>
    <w:tmpl w:val="CC3EFB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18"/>
  </w:num>
  <w:num w:numId="4">
    <w:abstractNumId w:val="19"/>
  </w:num>
  <w:num w:numId="5">
    <w:abstractNumId w:val="11"/>
  </w:num>
  <w:num w:numId="6">
    <w:abstractNumId w:val="23"/>
  </w:num>
  <w:num w:numId="7">
    <w:abstractNumId w:val="30"/>
  </w:num>
  <w:num w:numId="8">
    <w:abstractNumId w:val="12"/>
  </w:num>
  <w:num w:numId="9">
    <w:abstractNumId w:val="26"/>
  </w:num>
  <w:num w:numId="10">
    <w:abstractNumId w:val="0"/>
  </w:num>
  <w:num w:numId="11">
    <w:abstractNumId w:val="22"/>
  </w:num>
  <w:num w:numId="12">
    <w:abstractNumId w:val="9"/>
  </w:num>
  <w:num w:numId="13">
    <w:abstractNumId w:val="32"/>
  </w:num>
  <w:num w:numId="14">
    <w:abstractNumId w:val="38"/>
  </w:num>
  <w:num w:numId="15">
    <w:abstractNumId w:val="28"/>
  </w:num>
  <w:num w:numId="16">
    <w:abstractNumId w:val="25"/>
  </w:num>
  <w:num w:numId="17">
    <w:abstractNumId w:val="6"/>
  </w:num>
  <w:num w:numId="18">
    <w:abstractNumId w:val="31"/>
  </w:num>
  <w:num w:numId="19">
    <w:abstractNumId w:val="8"/>
  </w:num>
  <w:num w:numId="20">
    <w:abstractNumId w:val="34"/>
  </w:num>
  <w:num w:numId="21">
    <w:abstractNumId w:val="21"/>
  </w:num>
  <w:num w:numId="22">
    <w:abstractNumId w:val="20"/>
  </w:num>
  <w:num w:numId="23">
    <w:abstractNumId w:val="36"/>
  </w:num>
  <w:num w:numId="24">
    <w:abstractNumId w:val="7"/>
  </w:num>
  <w:num w:numId="25">
    <w:abstractNumId w:val="35"/>
  </w:num>
  <w:num w:numId="26">
    <w:abstractNumId w:val="1"/>
  </w:num>
  <w:num w:numId="27">
    <w:abstractNumId w:val="37"/>
  </w:num>
  <w:num w:numId="28">
    <w:abstractNumId w:val="13"/>
  </w:num>
  <w:num w:numId="29">
    <w:abstractNumId w:val="16"/>
  </w:num>
  <w:num w:numId="30">
    <w:abstractNumId w:val="17"/>
  </w:num>
  <w:num w:numId="31">
    <w:abstractNumId w:val="29"/>
  </w:num>
  <w:num w:numId="32">
    <w:abstractNumId w:val="10"/>
  </w:num>
  <w:num w:numId="33">
    <w:abstractNumId w:val="3"/>
  </w:num>
  <w:num w:numId="34">
    <w:abstractNumId w:val="5"/>
  </w:num>
  <w:num w:numId="35">
    <w:abstractNumId w:val="40"/>
  </w:num>
  <w:num w:numId="36">
    <w:abstractNumId w:val="14"/>
  </w:num>
  <w:num w:numId="37">
    <w:abstractNumId w:val="33"/>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27"/>
  </w:num>
  <w:num w:numId="4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C7"/>
    <w:rsid w:val="00011837"/>
    <w:rsid w:val="00011B28"/>
    <w:rsid w:val="00012594"/>
    <w:rsid w:val="0001274F"/>
    <w:rsid w:val="00012DCE"/>
    <w:rsid w:val="00013762"/>
    <w:rsid w:val="00014220"/>
    <w:rsid w:val="00014878"/>
    <w:rsid w:val="00014D88"/>
    <w:rsid w:val="000155D3"/>
    <w:rsid w:val="00015D15"/>
    <w:rsid w:val="000160B2"/>
    <w:rsid w:val="000164A7"/>
    <w:rsid w:val="000168AE"/>
    <w:rsid w:val="00016C9A"/>
    <w:rsid w:val="00017180"/>
    <w:rsid w:val="00017404"/>
    <w:rsid w:val="00017528"/>
    <w:rsid w:val="00017927"/>
    <w:rsid w:val="000202F4"/>
    <w:rsid w:val="000207A2"/>
    <w:rsid w:val="0002093E"/>
    <w:rsid w:val="00021321"/>
    <w:rsid w:val="0002147E"/>
    <w:rsid w:val="00023408"/>
    <w:rsid w:val="000243BF"/>
    <w:rsid w:val="00024A45"/>
    <w:rsid w:val="0002564D"/>
    <w:rsid w:val="00025AC4"/>
    <w:rsid w:val="00025BF3"/>
    <w:rsid w:val="00025E2F"/>
    <w:rsid w:val="00025ECA"/>
    <w:rsid w:val="00026525"/>
    <w:rsid w:val="000267A1"/>
    <w:rsid w:val="00027218"/>
    <w:rsid w:val="00027939"/>
    <w:rsid w:val="00027988"/>
    <w:rsid w:val="000279EA"/>
    <w:rsid w:val="00027BD2"/>
    <w:rsid w:val="0003198A"/>
    <w:rsid w:val="00031A91"/>
    <w:rsid w:val="000325B8"/>
    <w:rsid w:val="000338CF"/>
    <w:rsid w:val="00033F51"/>
    <w:rsid w:val="0003438B"/>
    <w:rsid w:val="000345BA"/>
    <w:rsid w:val="0003468E"/>
    <w:rsid w:val="0003476B"/>
    <w:rsid w:val="00034C15"/>
    <w:rsid w:val="00035672"/>
    <w:rsid w:val="00036BA1"/>
    <w:rsid w:val="0003770D"/>
    <w:rsid w:val="00037E0E"/>
    <w:rsid w:val="00037FBF"/>
    <w:rsid w:val="000410D5"/>
    <w:rsid w:val="0004137F"/>
    <w:rsid w:val="00041768"/>
    <w:rsid w:val="00042269"/>
    <w:rsid w:val="000422E2"/>
    <w:rsid w:val="00042593"/>
    <w:rsid w:val="00042F22"/>
    <w:rsid w:val="00043619"/>
    <w:rsid w:val="00043D93"/>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A07"/>
    <w:rsid w:val="00052B3B"/>
    <w:rsid w:val="000530CE"/>
    <w:rsid w:val="00053429"/>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C"/>
    <w:rsid w:val="000608BD"/>
    <w:rsid w:val="00060AC4"/>
    <w:rsid w:val="00061414"/>
    <w:rsid w:val="00061485"/>
    <w:rsid w:val="0006157B"/>
    <w:rsid w:val="000616E7"/>
    <w:rsid w:val="000622A6"/>
    <w:rsid w:val="000626CA"/>
    <w:rsid w:val="00062DF5"/>
    <w:rsid w:val="0006389C"/>
    <w:rsid w:val="00064085"/>
    <w:rsid w:val="0006487E"/>
    <w:rsid w:val="00064BB3"/>
    <w:rsid w:val="000650C1"/>
    <w:rsid w:val="00065E1A"/>
    <w:rsid w:val="000668B8"/>
    <w:rsid w:val="00067759"/>
    <w:rsid w:val="00067B15"/>
    <w:rsid w:val="000707A2"/>
    <w:rsid w:val="000708A3"/>
    <w:rsid w:val="00071F96"/>
    <w:rsid w:val="000721D8"/>
    <w:rsid w:val="000726A4"/>
    <w:rsid w:val="0007330B"/>
    <w:rsid w:val="00074CC0"/>
    <w:rsid w:val="00075AB6"/>
    <w:rsid w:val="00075C5D"/>
    <w:rsid w:val="0007717C"/>
    <w:rsid w:val="00077B17"/>
    <w:rsid w:val="00077D33"/>
    <w:rsid w:val="00077E5F"/>
    <w:rsid w:val="0008036A"/>
    <w:rsid w:val="0008055F"/>
    <w:rsid w:val="00080878"/>
    <w:rsid w:val="00080A67"/>
    <w:rsid w:val="000819CF"/>
    <w:rsid w:val="000819F9"/>
    <w:rsid w:val="00081AE6"/>
    <w:rsid w:val="00081C04"/>
    <w:rsid w:val="00081D2D"/>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87D0B"/>
    <w:rsid w:val="0009009F"/>
    <w:rsid w:val="000901F0"/>
    <w:rsid w:val="00090852"/>
    <w:rsid w:val="00090C4D"/>
    <w:rsid w:val="00090CB9"/>
    <w:rsid w:val="00090D12"/>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30F"/>
    <w:rsid w:val="000954FB"/>
    <w:rsid w:val="00095575"/>
    <w:rsid w:val="0009557D"/>
    <w:rsid w:val="0009595C"/>
    <w:rsid w:val="00096350"/>
    <w:rsid w:val="000968C1"/>
    <w:rsid w:val="000972CE"/>
    <w:rsid w:val="000973EF"/>
    <w:rsid w:val="000A04E1"/>
    <w:rsid w:val="000A0610"/>
    <w:rsid w:val="000A0BAB"/>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0"/>
    <w:rsid w:val="000A5DDE"/>
    <w:rsid w:val="000A61F3"/>
    <w:rsid w:val="000A6644"/>
    <w:rsid w:val="000A6B7D"/>
    <w:rsid w:val="000A6DA2"/>
    <w:rsid w:val="000A7068"/>
    <w:rsid w:val="000A7B19"/>
    <w:rsid w:val="000A7CEF"/>
    <w:rsid w:val="000A7D50"/>
    <w:rsid w:val="000B028B"/>
    <w:rsid w:val="000B06EA"/>
    <w:rsid w:val="000B081E"/>
    <w:rsid w:val="000B0E9F"/>
    <w:rsid w:val="000B1891"/>
    <w:rsid w:val="000B2719"/>
    <w:rsid w:val="000B2BFB"/>
    <w:rsid w:val="000B2CE9"/>
    <w:rsid w:val="000B304A"/>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061"/>
    <w:rsid w:val="000C139E"/>
    <w:rsid w:val="000C165A"/>
    <w:rsid w:val="000C16C8"/>
    <w:rsid w:val="000C1903"/>
    <w:rsid w:val="000C1B98"/>
    <w:rsid w:val="000C1BF0"/>
    <w:rsid w:val="000C2A16"/>
    <w:rsid w:val="000C2E1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010"/>
    <w:rsid w:val="000F1106"/>
    <w:rsid w:val="000F186D"/>
    <w:rsid w:val="000F19FE"/>
    <w:rsid w:val="000F2053"/>
    <w:rsid w:val="000F2947"/>
    <w:rsid w:val="000F3BE9"/>
    <w:rsid w:val="000F3F6C"/>
    <w:rsid w:val="000F4E73"/>
    <w:rsid w:val="000F5184"/>
    <w:rsid w:val="000F63FD"/>
    <w:rsid w:val="000F6DF3"/>
    <w:rsid w:val="000F75D8"/>
    <w:rsid w:val="000F7D10"/>
    <w:rsid w:val="00100231"/>
    <w:rsid w:val="001002DA"/>
    <w:rsid w:val="001005FF"/>
    <w:rsid w:val="00100D9C"/>
    <w:rsid w:val="001012B0"/>
    <w:rsid w:val="001017DD"/>
    <w:rsid w:val="00102304"/>
    <w:rsid w:val="0010434A"/>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08B"/>
    <w:rsid w:val="001219F5"/>
    <w:rsid w:val="00121A20"/>
    <w:rsid w:val="00121FDD"/>
    <w:rsid w:val="00122388"/>
    <w:rsid w:val="00122DF9"/>
    <w:rsid w:val="00122F2E"/>
    <w:rsid w:val="0012377F"/>
    <w:rsid w:val="00123C02"/>
    <w:rsid w:val="00123D95"/>
    <w:rsid w:val="0012408C"/>
    <w:rsid w:val="00124314"/>
    <w:rsid w:val="00124597"/>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4C2"/>
    <w:rsid w:val="00132A13"/>
    <w:rsid w:val="00132FD0"/>
    <w:rsid w:val="00133E1C"/>
    <w:rsid w:val="00133E57"/>
    <w:rsid w:val="0013408B"/>
    <w:rsid w:val="001344C0"/>
    <w:rsid w:val="001346FA"/>
    <w:rsid w:val="00135252"/>
    <w:rsid w:val="00135881"/>
    <w:rsid w:val="00135905"/>
    <w:rsid w:val="00135F05"/>
    <w:rsid w:val="001360D8"/>
    <w:rsid w:val="001363EF"/>
    <w:rsid w:val="0013673C"/>
    <w:rsid w:val="00136C56"/>
    <w:rsid w:val="00136C9E"/>
    <w:rsid w:val="00136CC2"/>
    <w:rsid w:val="00136F62"/>
    <w:rsid w:val="001372E4"/>
    <w:rsid w:val="00137AB5"/>
    <w:rsid w:val="00137F0B"/>
    <w:rsid w:val="001405B9"/>
    <w:rsid w:val="00140CDB"/>
    <w:rsid w:val="00140FC4"/>
    <w:rsid w:val="001426A2"/>
    <w:rsid w:val="00143656"/>
    <w:rsid w:val="00143695"/>
    <w:rsid w:val="00143DDE"/>
    <w:rsid w:val="00144892"/>
    <w:rsid w:val="00144A2C"/>
    <w:rsid w:val="00144A81"/>
    <w:rsid w:val="00144AA0"/>
    <w:rsid w:val="00145F5A"/>
    <w:rsid w:val="00146387"/>
    <w:rsid w:val="001469D4"/>
    <w:rsid w:val="001501DB"/>
    <w:rsid w:val="001505A8"/>
    <w:rsid w:val="00150AB6"/>
    <w:rsid w:val="00150F90"/>
    <w:rsid w:val="00151178"/>
    <w:rsid w:val="00151189"/>
    <w:rsid w:val="00151A2E"/>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384"/>
    <w:rsid w:val="00167FD2"/>
    <w:rsid w:val="001701F0"/>
    <w:rsid w:val="001702E2"/>
    <w:rsid w:val="00170905"/>
    <w:rsid w:val="00170E4E"/>
    <w:rsid w:val="00171238"/>
    <w:rsid w:val="0017131F"/>
    <w:rsid w:val="001716B3"/>
    <w:rsid w:val="00171D65"/>
    <w:rsid w:val="00172114"/>
    <w:rsid w:val="001724AD"/>
    <w:rsid w:val="00172FC1"/>
    <w:rsid w:val="00173A8E"/>
    <w:rsid w:val="001744BB"/>
    <w:rsid w:val="001744DF"/>
    <w:rsid w:val="0017453A"/>
    <w:rsid w:val="001745E4"/>
    <w:rsid w:val="00174BAC"/>
    <w:rsid w:val="00174E65"/>
    <w:rsid w:val="001752FA"/>
    <w:rsid w:val="00175358"/>
    <w:rsid w:val="00175426"/>
    <w:rsid w:val="00177795"/>
    <w:rsid w:val="00177D1F"/>
    <w:rsid w:val="001801A7"/>
    <w:rsid w:val="0018078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DF9"/>
    <w:rsid w:val="001A0F35"/>
    <w:rsid w:val="001A10BD"/>
    <w:rsid w:val="001A1549"/>
    <w:rsid w:val="001A1987"/>
    <w:rsid w:val="001A2564"/>
    <w:rsid w:val="001A2707"/>
    <w:rsid w:val="001A279E"/>
    <w:rsid w:val="001A3231"/>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408F"/>
    <w:rsid w:val="001B4453"/>
    <w:rsid w:val="001B49EC"/>
    <w:rsid w:val="001B52BA"/>
    <w:rsid w:val="001B5530"/>
    <w:rsid w:val="001B59DA"/>
    <w:rsid w:val="001B5A5D"/>
    <w:rsid w:val="001B612E"/>
    <w:rsid w:val="001B6550"/>
    <w:rsid w:val="001B6813"/>
    <w:rsid w:val="001B68B3"/>
    <w:rsid w:val="001B796C"/>
    <w:rsid w:val="001B7A0B"/>
    <w:rsid w:val="001B7F5A"/>
    <w:rsid w:val="001C0105"/>
    <w:rsid w:val="001C06CE"/>
    <w:rsid w:val="001C1CE5"/>
    <w:rsid w:val="001C2657"/>
    <w:rsid w:val="001C279F"/>
    <w:rsid w:val="001C3258"/>
    <w:rsid w:val="001C32CA"/>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0899"/>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2DB2"/>
    <w:rsid w:val="001E41F8"/>
    <w:rsid w:val="001E44E6"/>
    <w:rsid w:val="001E58DD"/>
    <w:rsid w:val="001E58E2"/>
    <w:rsid w:val="001E6091"/>
    <w:rsid w:val="001E788C"/>
    <w:rsid w:val="001E7AED"/>
    <w:rsid w:val="001F087C"/>
    <w:rsid w:val="001F0B22"/>
    <w:rsid w:val="001F1025"/>
    <w:rsid w:val="001F19C8"/>
    <w:rsid w:val="001F2689"/>
    <w:rsid w:val="001F28A7"/>
    <w:rsid w:val="001F3467"/>
    <w:rsid w:val="001F355A"/>
    <w:rsid w:val="001F3916"/>
    <w:rsid w:val="001F3BB7"/>
    <w:rsid w:val="001F3D7C"/>
    <w:rsid w:val="001F46B9"/>
    <w:rsid w:val="001F528D"/>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2847"/>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D43"/>
    <w:rsid w:val="00220600"/>
    <w:rsid w:val="00220AD3"/>
    <w:rsid w:val="00220B20"/>
    <w:rsid w:val="002217DD"/>
    <w:rsid w:val="00221C6A"/>
    <w:rsid w:val="002224DB"/>
    <w:rsid w:val="00222DBC"/>
    <w:rsid w:val="00223FCB"/>
    <w:rsid w:val="0022434D"/>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4D00"/>
    <w:rsid w:val="002352DA"/>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EB"/>
    <w:rsid w:val="002579FA"/>
    <w:rsid w:val="002605C9"/>
    <w:rsid w:val="002609F6"/>
    <w:rsid w:val="00260CFB"/>
    <w:rsid w:val="002617E7"/>
    <w:rsid w:val="00261FC8"/>
    <w:rsid w:val="00262C81"/>
    <w:rsid w:val="00262DA0"/>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1B5"/>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1B2"/>
    <w:rsid w:val="002827AD"/>
    <w:rsid w:val="0028280A"/>
    <w:rsid w:val="00282A55"/>
    <w:rsid w:val="00282B9A"/>
    <w:rsid w:val="00283426"/>
    <w:rsid w:val="00283894"/>
    <w:rsid w:val="00283FA1"/>
    <w:rsid w:val="002849E5"/>
    <w:rsid w:val="00284D9D"/>
    <w:rsid w:val="00285265"/>
    <w:rsid w:val="002854D5"/>
    <w:rsid w:val="0028560F"/>
    <w:rsid w:val="00286401"/>
    <w:rsid w:val="00286ACD"/>
    <w:rsid w:val="00286D5A"/>
    <w:rsid w:val="00287838"/>
    <w:rsid w:val="00290332"/>
    <w:rsid w:val="002907B5"/>
    <w:rsid w:val="00290B08"/>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476"/>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738"/>
    <w:rsid w:val="002E17F2"/>
    <w:rsid w:val="002E2740"/>
    <w:rsid w:val="002E28C1"/>
    <w:rsid w:val="002E2F2A"/>
    <w:rsid w:val="002E2FD7"/>
    <w:rsid w:val="002E48AE"/>
    <w:rsid w:val="002E49A8"/>
    <w:rsid w:val="002E4D0A"/>
    <w:rsid w:val="002E50C6"/>
    <w:rsid w:val="002E5207"/>
    <w:rsid w:val="002E57B7"/>
    <w:rsid w:val="002E6068"/>
    <w:rsid w:val="002E63F4"/>
    <w:rsid w:val="002E64C0"/>
    <w:rsid w:val="002E6612"/>
    <w:rsid w:val="002E6EA1"/>
    <w:rsid w:val="002E7691"/>
    <w:rsid w:val="002E791C"/>
    <w:rsid w:val="002E7CAE"/>
    <w:rsid w:val="002F2771"/>
    <w:rsid w:val="002F37A9"/>
    <w:rsid w:val="002F37C5"/>
    <w:rsid w:val="002F455D"/>
    <w:rsid w:val="002F4597"/>
    <w:rsid w:val="002F459D"/>
    <w:rsid w:val="002F4940"/>
    <w:rsid w:val="002F4EEB"/>
    <w:rsid w:val="002F4F23"/>
    <w:rsid w:val="002F539B"/>
    <w:rsid w:val="002F60C2"/>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67CCC"/>
    <w:rsid w:val="00370E47"/>
    <w:rsid w:val="00372570"/>
    <w:rsid w:val="0037322F"/>
    <w:rsid w:val="0037323B"/>
    <w:rsid w:val="00374042"/>
    <w:rsid w:val="003742AC"/>
    <w:rsid w:val="0037493F"/>
    <w:rsid w:val="00376A1A"/>
    <w:rsid w:val="00376B9D"/>
    <w:rsid w:val="00377CE1"/>
    <w:rsid w:val="0038051F"/>
    <w:rsid w:val="003807F1"/>
    <w:rsid w:val="00381377"/>
    <w:rsid w:val="003815BB"/>
    <w:rsid w:val="0038168D"/>
    <w:rsid w:val="00382541"/>
    <w:rsid w:val="00383C13"/>
    <w:rsid w:val="00384372"/>
    <w:rsid w:val="00384F45"/>
    <w:rsid w:val="0038531D"/>
    <w:rsid w:val="00385BF0"/>
    <w:rsid w:val="00385DBE"/>
    <w:rsid w:val="00386263"/>
    <w:rsid w:val="0038648C"/>
    <w:rsid w:val="003865FE"/>
    <w:rsid w:val="00386C8D"/>
    <w:rsid w:val="003874BE"/>
    <w:rsid w:val="003879D8"/>
    <w:rsid w:val="00387E49"/>
    <w:rsid w:val="00390359"/>
    <w:rsid w:val="003915EB"/>
    <w:rsid w:val="0039233B"/>
    <w:rsid w:val="00392E94"/>
    <w:rsid w:val="0039320A"/>
    <w:rsid w:val="0039386A"/>
    <w:rsid w:val="003939FF"/>
    <w:rsid w:val="00393BCB"/>
    <w:rsid w:val="00394001"/>
    <w:rsid w:val="0039438D"/>
    <w:rsid w:val="00395165"/>
    <w:rsid w:val="00396685"/>
    <w:rsid w:val="00397521"/>
    <w:rsid w:val="00397536"/>
    <w:rsid w:val="00397649"/>
    <w:rsid w:val="00397D57"/>
    <w:rsid w:val="003A0892"/>
    <w:rsid w:val="003A0E60"/>
    <w:rsid w:val="003A0F25"/>
    <w:rsid w:val="003A0F64"/>
    <w:rsid w:val="003A14C1"/>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84"/>
    <w:rsid w:val="003B159C"/>
    <w:rsid w:val="003B1EB1"/>
    <w:rsid w:val="003B26A4"/>
    <w:rsid w:val="003B2A14"/>
    <w:rsid w:val="003B33E5"/>
    <w:rsid w:val="003B369F"/>
    <w:rsid w:val="003B36A3"/>
    <w:rsid w:val="003B3C0F"/>
    <w:rsid w:val="003B3EE9"/>
    <w:rsid w:val="003B4985"/>
    <w:rsid w:val="003B4CDB"/>
    <w:rsid w:val="003B573B"/>
    <w:rsid w:val="003B5A27"/>
    <w:rsid w:val="003B5BE1"/>
    <w:rsid w:val="003B5C09"/>
    <w:rsid w:val="003B5F50"/>
    <w:rsid w:val="003B6B18"/>
    <w:rsid w:val="003B70E0"/>
    <w:rsid w:val="003B7700"/>
    <w:rsid w:val="003B785E"/>
    <w:rsid w:val="003B7FE5"/>
    <w:rsid w:val="003C0ADB"/>
    <w:rsid w:val="003C11C8"/>
    <w:rsid w:val="003C1905"/>
    <w:rsid w:val="003C221A"/>
    <w:rsid w:val="003C2516"/>
    <w:rsid w:val="003C2702"/>
    <w:rsid w:val="003C2D10"/>
    <w:rsid w:val="003C3F5D"/>
    <w:rsid w:val="003C4112"/>
    <w:rsid w:val="003C471D"/>
    <w:rsid w:val="003C4860"/>
    <w:rsid w:val="003C4D0A"/>
    <w:rsid w:val="003C4F5D"/>
    <w:rsid w:val="003C585B"/>
    <w:rsid w:val="003C5D55"/>
    <w:rsid w:val="003C6EF3"/>
    <w:rsid w:val="003C76CC"/>
    <w:rsid w:val="003C7806"/>
    <w:rsid w:val="003C78B5"/>
    <w:rsid w:val="003C7F8E"/>
    <w:rsid w:val="003D0607"/>
    <w:rsid w:val="003D0723"/>
    <w:rsid w:val="003D0FDB"/>
    <w:rsid w:val="003D1080"/>
    <w:rsid w:val="003D109F"/>
    <w:rsid w:val="003D2478"/>
    <w:rsid w:val="003D2DDC"/>
    <w:rsid w:val="003D2FC4"/>
    <w:rsid w:val="003D3279"/>
    <w:rsid w:val="003D33CE"/>
    <w:rsid w:val="003D3866"/>
    <w:rsid w:val="003D3C45"/>
    <w:rsid w:val="003D3E4D"/>
    <w:rsid w:val="003D40F8"/>
    <w:rsid w:val="003D47C1"/>
    <w:rsid w:val="003D4804"/>
    <w:rsid w:val="003D4ECB"/>
    <w:rsid w:val="003D5B1F"/>
    <w:rsid w:val="003D6194"/>
    <w:rsid w:val="003D761D"/>
    <w:rsid w:val="003D7625"/>
    <w:rsid w:val="003D7A25"/>
    <w:rsid w:val="003D7DE0"/>
    <w:rsid w:val="003E04AC"/>
    <w:rsid w:val="003E05BD"/>
    <w:rsid w:val="003E072B"/>
    <w:rsid w:val="003E0BD6"/>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67B"/>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1BA7"/>
    <w:rsid w:val="00402735"/>
    <w:rsid w:val="0040288A"/>
    <w:rsid w:val="00402E2B"/>
    <w:rsid w:val="004030A7"/>
    <w:rsid w:val="00403926"/>
    <w:rsid w:val="00403DBB"/>
    <w:rsid w:val="004045F0"/>
    <w:rsid w:val="00404B4B"/>
    <w:rsid w:val="00404C52"/>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4095"/>
    <w:rsid w:val="004353C0"/>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3AA"/>
    <w:rsid w:val="004517AA"/>
    <w:rsid w:val="00451C61"/>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687"/>
    <w:rsid w:val="0046694A"/>
    <w:rsid w:val="004669E2"/>
    <w:rsid w:val="00466EBC"/>
    <w:rsid w:val="00467392"/>
    <w:rsid w:val="00467930"/>
    <w:rsid w:val="00467933"/>
    <w:rsid w:val="00467DF2"/>
    <w:rsid w:val="00470C31"/>
    <w:rsid w:val="00470C4F"/>
    <w:rsid w:val="004713B8"/>
    <w:rsid w:val="004719C3"/>
    <w:rsid w:val="00472D9C"/>
    <w:rsid w:val="004734D0"/>
    <w:rsid w:val="004737F0"/>
    <w:rsid w:val="00473C75"/>
    <w:rsid w:val="00474096"/>
    <w:rsid w:val="004744C0"/>
    <w:rsid w:val="0047525B"/>
    <w:rsid w:val="0047556B"/>
    <w:rsid w:val="00475C6C"/>
    <w:rsid w:val="0047631A"/>
    <w:rsid w:val="004765C1"/>
    <w:rsid w:val="0047691F"/>
    <w:rsid w:val="00476929"/>
    <w:rsid w:val="00477768"/>
    <w:rsid w:val="004778F1"/>
    <w:rsid w:val="00477D26"/>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4ED"/>
    <w:rsid w:val="004877E2"/>
    <w:rsid w:val="00487AE0"/>
    <w:rsid w:val="0049031D"/>
    <w:rsid w:val="00490604"/>
    <w:rsid w:val="00492BC5"/>
    <w:rsid w:val="004933EA"/>
    <w:rsid w:val="00493DBE"/>
    <w:rsid w:val="00494199"/>
    <w:rsid w:val="00494B81"/>
    <w:rsid w:val="00495533"/>
    <w:rsid w:val="0049566A"/>
    <w:rsid w:val="004957EC"/>
    <w:rsid w:val="004963CD"/>
    <w:rsid w:val="00496462"/>
    <w:rsid w:val="0049647A"/>
    <w:rsid w:val="004964F1"/>
    <w:rsid w:val="00496624"/>
    <w:rsid w:val="004969FC"/>
    <w:rsid w:val="00496F4E"/>
    <w:rsid w:val="00497006"/>
    <w:rsid w:val="004971D5"/>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3990"/>
    <w:rsid w:val="004A4CED"/>
    <w:rsid w:val="004A4D90"/>
    <w:rsid w:val="004A515A"/>
    <w:rsid w:val="004A52A2"/>
    <w:rsid w:val="004A54CD"/>
    <w:rsid w:val="004A5658"/>
    <w:rsid w:val="004A6718"/>
    <w:rsid w:val="004A6952"/>
    <w:rsid w:val="004A6B9D"/>
    <w:rsid w:val="004A7159"/>
    <w:rsid w:val="004A7694"/>
    <w:rsid w:val="004A7AD8"/>
    <w:rsid w:val="004A7E6E"/>
    <w:rsid w:val="004B007D"/>
    <w:rsid w:val="004B014E"/>
    <w:rsid w:val="004B01DD"/>
    <w:rsid w:val="004B0618"/>
    <w:rsid w:val="004B0AB7"/>
    <w:rsid w:val="004B20F8"/>
    <w:rsid w:val="004B31AC"/>
    <w:rsid w:val="004B3EF9"/>
    <w:rsid w:val="004B3F31"/>
    <w:rsid w:val="004B409C"/>
    <w:rsid w:val="004B5BF2"/>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6722"/>
    <w:rsid w:val="004D7B79"/>
    <w:rsid w:val="004D7EBD"/>
    <w:rsid w:val="004E0434"/>
    <w:rsid w:val="004E08E1"/>
    <w:rsid w:val="004E0903"/>
    <w:rsid w:val="004E0ABB"/>
    <w:rsid w:val="004E162A"/>
    <w:rsid w:val="004E24CC"/>
    <w:rsid w:val="004E25F2"/>
    <w:rsid w:val="004E2680"/>
    <w:rsid w:val="004E28F9"/>
    <w:rsid w:val="004E2F82"/>
    <w:rsid w:val="004E34E7"/>
    <w:rsid w:val="004E371A"/>
    <w:rsid w:val="004E3AC0"/>
    <w:rsid w:val="004E422B"/>
    <w:rsid w:val="004E462E"/>
    <w:rsid w:val="004E4678"/>
    <w:rsid w:val="004E4AC9"/>
    <w:rsid w:val="004E4F2C"/>
    <w:rsid w:val="004E56DC"/>
    <w:rsid w:val="004E5746"/>
    <w:rsid w:val="004E6C24"/>
    <w:rsid w:val="004E6D4B"/>
    <w:rsid w:val="004E734C"/>
    <w:rsid w:val="004E737A"/>
    <w:rsid w:val="004E7438"/>
    <w:rsid w:val="004E76F4"/>
    <w:rsid w:val="004E7D46"/>
    <w:rsid w:val="004F0501"/>
    <w:rsid w:val="004F064E"/>
    <w:rsid w:val="004F0B4E"/>
    <w:rsid w:val="004F0B6C"/>
    <w:rsid w:val="004F124A"/>
    <w:rsid w:val="004F2078"/>
    <w:rsid w:val="004F210A"/>
    <w:rsid w:val="004F2507"/>
    <w:rsid w:val="004F2548"/>
    <w:rsid w:val="004F2AE0"/>
    <w:rsid w:val="004F4200"/>
    <w:rsid w:val="004F4931"/>
    <w:rsid w:val="004F4AFB"/>
    <w:rsid w:val="004F4DA3"/>
    <w:rsid w:val="004F5AC4"/>
    <w:rsid w:val="004F5C55"/>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23"/>
    <w:rsid w:val="0050628F"/>
    <w:rsid w:val="00506329"/>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A5F"/>
    <w:rsid w:val="00513CBF"/>
    <w:rsid w:val="005146A3"/>
    <w:rsid w:val="00514B37"/>
    <w:rsid w:val="00514CF8"/>
    <w:rsid w:val="005150B5"/>
    <w:rsid w:val="005153A7"/>
    <w:rsid w:val="0051595C"/>
    <w:rsid w:val="0051690D"/>
    <w:rsid w:val="00517725"/>
    <w:rsid w:val="005178BC"/>
    <w:rsid w:val="00520327"/>
    <w:rsid w:val="005203D7"/>
    <w:rsid w:val="005207D9"/>
    <w:rsid w:val="005215D8"/>
    <w:rsid w:val="00521780"/>
    <w:rsid w:val="005219CF"/>
    <w:rsid w:val="00521CAF"/>
    <w:rsid w:val="00521DA4"/>
    <w:rsid w:val="00521EBB"/>
    <w:rsid w:val="00522248"/>
    <w:rsid w:val="00524AC7"/>
    <w:rsid w:val="00525315"/>
    <w:rsid w:val="00525439"/>
    <w:rsid w:val="00526167"/>
    <w:rsid w:val="0052616B"/>
    <w:rsid w:val="00526186"/>
    <w:rsid w:val="00526998"/>
    <w:rsid w:val="00526B0A"/>
    <w:rsid w:val="00527463"/>
    <w:rsid w:val="0053070A"/>
    <w:rsid w:val="00530B45"/>
    <w:rsid w:val="005313E4"/>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16E"/>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4E35"/>
    <w:rsid w:val="00556504"/>
    <w:rsid w:val="00556E14"/>
    <w:rsid w:val="00560280"/>
    <w:rsid w:val="00560304"/>
    <w:rsid w:val="0056121F"/>
    <w:rsid w:val="00561658"/>
    <w:rsid w:val="005617CF"/>
    <w:rsid w:val="00561C13"/>
    <w:rsid w:val="00561D43"/>
    <w:rsid w:val="005623B3"/>
    <w:rsid w:val="00562714"/>
    <w:rsid w:val="00562990"/>
    <w:rsid w:val="00562A71"/>
    <w:rsid w:val="00562EB7"/>
    <w:rsid w:val="00563697"/>
    <w:rsid w:val="00563AEB"/>
    <w:rsid w:val="00564748"/>
    <w:rsid w:val="0056579B"/>
    <w:rsid w:val="00565E6C"/>
    <w:rsid w:val="005671AD"/>
    <w:rsid w:val="00567664"/>
    <w:rsid w:val="00567F21"/>
    <w:rsid w:val="00567F55"/>
    <w:rsid w:val="00570BE9"/>
    <w:rsid w:val="00570DAC"/>
    <w:rsid w:val="00570F73"/>
    <w:rsid w:val="00570F99"/>
    <w:rsid w:val="005713F2"/>
    <w:rsid w:val="00572505"/>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478A"/>
    <w:rsid w:val="00585462"/>
    <w:rsid w:val="00586FEE"/>
    <w:rsid w:val="0058798C"/>
    <w:rsid w:val="00587E5F"/>
    <w:rsid w:val="005900FA"/>
    <w:rsid w:val="005901CF"/>
    <w:rsid w:val="00590855"/>
    <w:rsid w:val="00590C88"/>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17CD"/>
    <w:rsid w:val="005B1A6F"/>
    <w:rsid w:val="005B2C89"/>
    <w:rsid w:val="005B2E45"/>
    <w:rsid w:val="005B3481"/>
    <w:rsid w:val="005B35D7"/>
    <w:rsid w:val="005B392A"/>
    <w:rsid w:val="005B3AA3"/>
    <w:rsid w:val="005B4C1E"/>
    <w:rsid w:val="005B5C93"/>
    <w:rsid w:val="005B694B"/>
    <w:rsid w:val="005B6F83"/>
    <w:rsid w:val="005C1E43"/>
    <w:rsid w:val="005C2797"/>
    <w:rsid w:val="005C2D16"/>
    <w:rsid w:val="005C2ED9"/>
    <w:rsid w:val="005C31DE"/>
    <w:rsid w:val="005C33E1"/>
    <w:rsid w:val="005C342E"/>
    <w:rsid w:val="005C3F24"/>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D9"/>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246"/>
    <w:rsid w:val="005F5616"/>
    <w:rsid w:val="005F618C"/>
    <w:rsid w:val="005F6761"/>
    <w:rsid w:val="005F67C8"/>
    <w:rsid w:val="005F686F"/>
    <w:rsid w:val="005F6A5D"/>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6CB6"/>
    <w:rsid w:val="00607BB5"/>
    <w:rsid w:val="00610361"/>
    <w:rsid w:val="00610417"/>
    <w:rsid w:val="00610612"/>
    <w:rsid w:val="00610A0E"/>
    <w:rsid w:val="00611556"/>
    <w:rsid w:val="00611A89"/>
    <w:rsid w:val="00611B83"/>
    <w:rsid w:val="0061206D"/>
    <w:rsid w:val="00612756"/>
    <w:rsid w:val="00612775"/>
    <w:rsid w:val="00613257"/>
    <w:rsid w:val="00613299"/>
    <w:rsid w:val="00613723"/>
    <w:rsid w:val="006137D4"/>
    <w:rsid w:val="00613A70"/>
    <w:rsid w:val="00615219"/>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C5"/>
    <w:rsid w:val="006634E6"/>
    <w:rsid w:val="0066359C"/>
    <w:rsid w:val="00663BF2"/>
    <w:rsid w:val="00663C2D"/>
    <w:rsid w:val="00663E40"/>
    <w:rsid w:val="00663FA1"/>
    <w:rsid w:val="00664A3A"/>
    <w:rsid w:val="006655EE"/>
    <w:rsid w:val="00665F0A"/>
    <w:rsid w:val="00665F37"/>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B6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9C"/>
    <w:rsid w:val="00685E17"/>
    <w:rsid w:val="00686BEA"/>
    <w:rsid w:val="006874FF"/>
    <w:rsid w:val="00690ECC"/>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A9A"/>
    <w:rsid w:val="006A1AF7"/>
    <w:rsid w:val="006A1E84"/>
    <w:rsid w:val="006A2039"/>
    <w:rsid w:val="006A204F"/>
    <w:rsid w:val="006A27A1"/>
    <w:rsid w:val="006A282A"/>
    <w:rsid w:val="006A3A20"/>
    <w:rsid w:val="006A4602"/>
    <w:rsid w:val="006A46FB"/>
    <w:rsid w:val="006A5E28"/>
    <w:rsid w:val="006A5E37"/>
    <w:rsid w:val="006A63BF"/>
    <w:rsid w:val="006A697B"/>
    <w:rsid w:val="006A6B07"/>
    <w:rsid w:val="006A7AFF"/>
    <w:rsid w:val="006A7F52"/>
    <w:rsid w:val="006B06EB"/>
    <w:rsid w:val="006B07F1"/>
    <w:rsid w:val="006B1816"/>
    <w:rsid w:val="006B1BE0"/>
    <w:rsid w:val="006B1E42"/>
    <w:rsid w:val="006B2099"/>
    <w:rsid w:val="006B235E"/>
    <w:rsid w:val="006B2533"/>
    <w:rsid w:val="006B26C0"/>
    <w:rsid w:val="006B27AB"/>
    <w:rsid w:val="006B27D0"/>
    <w:rsid w:val="006B29DD"/>
    <w:rsid w:val="006B31F0"/>
    <w:rsid w:val="006B50CF"/>
    <w:rsid w:val="006B5460"/>
    <w:rsid w:val="006B639B"/>
    <w:rsid w:val="006B796F"/>
    <w:rsid w:val="006B7ED0"/>
    <w:rsid w:val="006C0238"/>
    <w:rsid w:val="006C03B8"/>
    <w:rsid w:val="006C100F"/>
    <w:rsid w:val="006C1F08"/>
    <w:rsid w:val="006C2069"/>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898"/>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1C9"/>
    <w:rsid w:val="006E0270"/>
    <w:rsid w:val="006E04FE"/>
    <w:rsid w:val="006E05DF"/>
    <w:rsid w:val="006E062C"/>
    <w:rsid w:val="006E17F7"/>
    <w:rsid w:val="006E1BF3"/>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C98"/>
    <w:rsid w:val="006E5FA3"/>
    <w:rsid w:val="006E61CC"/>
    <w:rsid w:val="006E673D"/>
    <w:rsid w:val="006E6EC8"/>
    <w:rsid w:val="006E7898"/>
    <w:rsid w:val="006E7D3B"/>
    <w:rsid w:val="006E7F4F"/>
    <w:rsid w:val="006F01B6"/>
    <w:rsid w:val="006F0C31"/>
    <w:rsid w:val="006F1B70"/>
    <w:rsid w:val="006F1E38"/>
    <w:rsid w:val="006F1F54"/>
    <w:rsid w:val="006F206C"/>
    <w:rsid w:val="006F2117"/>
    <w:rsid w:val="006F2235"/>
    <w:rsid w:val="006F263E"/>
    <w:rsid w:val="006F2DD7"/>
    <w:rsid w:val="006F341D"/>
    <w:rsid w:val="006F3931"/>
    <w:rsid w:val="006F3CDE"/>
    <w:rsid w:val="006F3F0D"/>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2A8"/>
    <w:rsid w:val="0070346E"/>
    <w:rsid w:val="007035A6"/>
    <w:rsid w:val="00704AC6"/>
    <w:rsid w:val="00704EDB"/>
    <w:rsid w:val="0070537F"/>
    <w:rsid w:val="007057B5"/>
    <w:rsid w:val="00705A56"/>
    <w:rsid w:val="00705C5D"/>
    <w:rsid w:val="00706101"/>
    <w:rsid w:val="0070640D"/>
    <w:rsid w:val="0070658A"/>
    <w:rsid w:val="00707072"/>
    <w:rsid w:val="0070723A"/>
    <w:rsid w:val="00707D61"/>
    <w:rsid w:val="00707F10"/>
    <w:rsid w:val="007116B4"/>
    <w:rsid w:val="007117E0"/>
    <w:rsid w:val="00711C39"/>
    <w:rsid w:val="00711FF0"/>
    <w:rsid w:val="00712287"/>
    <w:rsid w:val="00712772"/>
    <w:rsid w:val="00712775"/>
    <w:rsid w:val="00712882"/>
    <w:rsid w:val="0071291B"/>
    <w:rsid w:val="00712C65"/>
    <w:rsid w:val="00713308"/>
    <w:rsid w:val="00713B4C"/>
    <w:rsid w:val="007142F8"/>
    <w:rsid w:val="007145B7"/>
    <w:rsid w:val="007148D3"/>
    <w:rsid w:val="00715B9A"/>
    <w:rsid w:val="00715C23"/>
    <w:rsid w:val="00715DF5"/>
    <w:rsid w:val="007160F6"/>
    <w:rsid w:val="00716359"/>
    <w:rsid w:val="00716977"/>
    <w:rsid w:val="007172A4"/>
    <w:rsid w:val="007174A9"/>
    <w:rsid w:val="00717D52"/>
    <w:rsid w:val="00717EC8"/>
    <w:rsid w:val="00720129"/>
    <w:rsid w:val="0072029C"/>
    <w:rsid w:val="007207E0"/>
    <w:rsid w:val="00720A29"/>
    <w:rsid w:val="00720E14"/>
    <w:rsid w:val="00720FB2"/>
    <w:rsid w:val="00721593"/>
    <w:rsid w:val="007217B4"/>
    <w:rsid w:val="00722042"/>
    <w:rsid w:val="00722ED3"/>
    <w:rsid w:val="007231C6"/>
    <w:rsid w:val="0072359E"/>
    <w:rsid w:val="0072441E"/>
    <w:rsid w:val="00724D2D"/>
    <w:rsid w:val="007255D2"/>
    <w:rsid w:val="00725CDF"/>
    <w:rsid w:val="00726422"/>
    <w:rsid w:val="00726EA6"/>
    <w:rsid w:val="00727208"/>
    <w:rsid w:val="0072766F"/>
    <w:rsid w:val="00727680"/>
    <w:rsid w:val="00727BE1"/>
    <w:rsid w:val="00727EC3"/>
    <w:rsid w:val="007301DD"/>
    <w:rsid w:val="00730F6A"/>
    <w:rsid w:val="00731E32"/>
    <w:rsid w:val="00733BDE"/>
    <w:rsid w:val="00733ED6"/>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91B"/>
    <w:rsid w:val="00747BA4"/>
    <w:rsid w:val="00747D8B"/>
    <w:rsid w:val="00750681"/>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7013A"/>
    <w:rsid w:val="00770154"/>
    <w:rsid w:val="00770562"/>
    <w:rsid w:val="00772534"/>
    <w:rsid w:val="00772584"/>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7A2"/>
    <w:rsid w:val="00782881"/>
    <w:rsid w:val="00782B00"/>
    <w:rsid w:val="00782B37"/>
    <w:rsid w:val="00782D5B"/>
    <w:rsid w:val="00782FB4"/>
    <w:rsid w:val="00782FC9"/>
    <w:rsid w:val="00783032"/>
    <w:rsid w:val="0078304C"/>
    <w:rsid w:val="00783102"/>
    <w:rsid w:val="0078315C"/>
    <w:rsid w:val="00783673"/>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6A2"/>
    <w:rsid w:val="00796B7C"/>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5B5D"/>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FFF"/>
    <w:rsid w:val="007C05DD"/>
    <w:rsid w:val="007C0ACB"/>
    <w:rsid w:val="007C0E11"/>
    <w:rsid w:val="007C13ED"/>
    <w:rsid w:val="007C1EE8"/>
    <w:rsid w:val="007C20F6"/>
    <w:rsid w:val="007C2E19"/>
    <w:rsid w:val="007C3D18"/>
    <w:rsid w:val="007C3E73"/>
    <w:rsid w:val="007C4DA2"/>
    <w:rsid w:val="007C5251"/>
    <w:rsid w:val="007C5F27"/>
    <w:rsid w:val="007C60BF"/>
    <w:rsid w:val="007C6841"/>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3510"/>
    <w:rsid w:val="007D4892"/>
    <w:rsid w:val="007D4E4E"/>
    <w:rsid w:val="007D4F65"/>
    <w:rsid w:val="007D5309"/>
    <w:rsid w:val="007D58B4"/>
    <w:rsid w:val="007D5901"/>
    <w:rsid w:val="007D59FE"/>
    <w:rsid w:val="007D62AF"/>
    <w:rsid w:val="007D632D"/>
    <w:rsid w:val="007D6E5F"/>
    <w:rsid w:val="007D7526"/>
    <w:rsid w:val="007D763B"/>
    <w:rsid w:val="007E0364"/>
    <w:rsid w:val="007E0408"/>
    <w:rsid w:val="007E0580"/>
    <w:rsid w:val="007E0B55"/>
    <w:rsid w:val="007E1063"/>
    <w:rsid w:val="007E150A"/>
    <w:rsid w:val="007E15D4"/>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353"/>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6E83"/>
    <w:rsid w:val="007F7E3E"/>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01"/>
    <w:rsid w:val="00811F3E"/>
    <w:rsid w:val="00811FCB"/>
    <w:rsid w:val="00812E15"/>
    <w:rsid w:val="00812FA4"/>
    <w:rsid w:val="008130E1"/>
    <w:rsid w:val="008130F9"/>
    <w:rsid w:val="008132E5"/>
    <w:rsid w:val="00813436"/>
    <w:rsid w:val="00813B58"/>
    <w:rsid w:val="00815273"/>
    <w:rsid w:val="00815659"/>
    <w:rsid w:val="008158D6"/>
    <w:rsid w:val="008161F8"/>
    <w:rsid w:val="00817196"/>
    <w:rsid w:val="00817A92"/>
    <w:rsid w:val="008204E5"/>
    <w:rsid w:val="00820834"/>
    <w:rsid w:val="00820A73"/>
    <w:rsid w:val="00821065"/>
    <w:rsid w:val="0082124D"/>
    <w:rsid w:val="00821D5F"/>
    <w:rsid w:val="00821DDA"/>
    <w:rsid w:val="00821EFC"/>
    <w:rsid w:val="00821F34"/>
    <w:rsid w:val="00822A3A"/>
    <w:rsid w:val="008235DB"/>
    <w:rsid w:val="00824AB4"/>
    <w:rsid w:val="00824B02"/>
    <w:rsid w:val="008251D0"/>
    <w:rsid w:val="00825B95"/>
    <w:rsid w:val="00825C42"/>
    <w:rsid w:val="00825D25"/>
    <w:rsid w:val="008265B7"/>
    <w:rsid w:val="0082755A"/>
    <w:rsid w:val="00827761"/>
    <w:rsid w:val="00827B4A"/>
    <w:rsid w:val="00827B85"/>
    <w:rsid w:val="00827D6F"/>
    <w:rsid w:val="00831DFA"/>
    <w:rsid w:val="00832376"/>
    <w:rsid w:val="00832794"/>
    <w:rsid w:val="00832C4C"/>
    <w:rsid w:val="0083321F"/>
    <w:rsid w:val="00833DE0"/>
    <w:rsid w:val="00834193"/>
    <w:rsid w:val="00834B41"/>
    <w:rsid w:val="00834E03"/>
    <w:rsid w:val="0083511D"/>
    <w:rsid w:val="008359E6"/>
    <w:rsid w:val="008362FC"/>
    <w:rsid w:val="00836307"/>
    <w:rsid w:val="0083733B"/>
    <w:rsid w:val="008376AC"/>
    <w:rsid w:val="00837D05"/>
    <w:rsid w:val="00837EDA"/>
    <w:rsid w:val="00837F6B"/>
    <w:rsid w:val="0084044A"/>
    <w:rsid w:val="00840742"/>
    <w:rsid w:val="008407DD"/>
    <w:rsid w:val="008408F9"/>
    <w:rsid w:val="00841D38"/>
    <w:rsid w:val="00842225"/>
    <w:rsid w:val="0084436A"/>
    <w:rsid w:val="008443D3"/>
    <w:rsid w:val="008444E8"/>
    <w:rsid w:val="00844E80"/>
    <w:rsid w:val="00845A39"/>
    <w:rsid w:val="00845B06"/>
    <w:rsid w:val="00845BA0"/>
    <w:rsid w:val="00846FE7"/>
    <w:rsid w:val="00847424"/>
    <w:rsid w:val="008474BB"/>
    <w:rsid w:val="00847574"/>
    <w:rsid w:val="0084761B"/>
    <w:rsid w:val="008477CD"/>
    <w:rsid w:val="008479B5"/>
    <w:rsid w:val="00847E30"/>
    <w:rsid w:val="008504A9"/>
    <w:rsid w:val="00850CEC"/>
    <w:rsid w:val="008513DD"/>
    <w:rsid w:val="008522E5"/>
    <w:rsid w:val="00852C9F"/>
    <w:rsid w:val="00854A60"/>
    <w:rsid w:val="00855B06"/>
    <w:rsid w:val="0085626F"/>
    <w:rsid w:val="00856911"/>
    <w:rsid w:val="00856917"/>
    <w:rsid w:val="00856B1D"/>
    <w:rsid w:val="00856BA4"/>
    <w:rsid w:val="00857C3A"/>
    <w:rsid w:val="00857E8D"/>
    <w:rsid w:val="00857F60"/>
    <w:rsid w:val="00861558"/>
    <w:rsid w:val="008617FC"/>
    <w:rsid w:val="00862397"/>
    <w:rsid w:val="0086251D"/>
    <w:rsid w:val="0086325B"/>
    <w:rsid w:val="00863435"/>
    <w:rsid w:val="008635D0"/>
    <w:rsid w:val="00863F02"/>
    <w:rsid w:val="0086614A"/>
    <w:rsid w:val="00866A86"/>
    <w:rsid w:val="008675BB"/>
    <w:rsid w:val="008677FD"/>
    <w:rsid w:val="00867F7D"/>
    <w:rsid w:val="00867F91"/>
    <w:rsid w:val="00870579"/>
    <w:rsid w:val="008706D4"/>
    <w:rsid w:val="00870997"/>
    <w:rsid w:val="00870F8A"/>
    <w:rsid w:val="0087129E"/>
    <w:rsid w:val="0087143B"/>
    <w:rsid w:val="00871527"/>
    <w:rsid w:val="0087187B"/>
    <w:rsid w:val="0087192A"/>
    <w:rsid w:val="008719A4"/>
    <w:rsid w:val="00871CA7"/>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B2"/>
    <w:rsid w:val="00877EF3"/>
    <w:rsid w:val="00877F18"/>
    <w:rsid w:val="008804BF"/>
    <w:rsid w:val="008804F9"/>
    <w:rsid w:val="00880622"/>
    <w:rsid w:val="00880810"/>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977CD"/>
    <w:rsid w:val="008A041D"/>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0E55"/>
    <w:rsid w:val="008C1334"/>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F8"/>
    <w:rsid w:val="008D337A"/>
    <w:rsid w:val="008D34F1"/>
    <w:rsid w:val="008D395B"/>
    <w:rsid w:val="008D39D8"/>
    <w:rsid w:val="008D4448"/>
    <w:rsid w:val="008D4B3C"/>
    <w:rsid w:val="008D4BF2"/>
    <w:rsid w:val="008D4E1C"/>
    <w:rsid w:val="008D500F"/>
    <w:rsid w:val="008D57F4"/>
    <w:rsid w:val="008D5CCD"/>
    <w:rsid w:val="008D6737"/>
    <w:rsid w:val="008D6AD5"/>
    <w:rsid w:val="008D6D1A"/>
    <w:rsid w:val="008D7541"/>
    <w:rsid w:val="008E065E"/>
    <w:rsid w:val="008E06F5"/>
    <w:rsid w:val="008E07DC"/>
    <w:rsid w:val="008E0927"/>
    <w:rsid w:val="008E0C85"/>
    <w:rsid w:val="008E0F80"/>
    <w:rsid w:val="008E10BA"/>
    <w:rsid w:val="008E159E"/>
    <w:rsid w:val="008E1723"/>
    <w:rsid w:val="008E1909"/>
    <w:rsid w:val="008E1D70"/>
    <w:rsid w:val="008E1F52"/>
    <w:rsid w:val="008E2FF6"/>
    <w:rsid w:val="008E42B0"/>
    <w:rsid w:val="008E482B"/>
    <w:rsid w:val="008E4CA5"/>
    <w:rsid w:val="008E5FD1"/>
    <w:rsid w:val="008E6605"/>
    <w:rsid w:val="008E6AE7"/>
    <w:rsid w:val="008E6F77"/>
    <w:rsid w:val="008E7FD7"/>
    <w:rsid w:val="008F018B"/>
    <w:rsid w:val="008F0292"/>
    <w:rsid w:val="008F10E9"/>
    <w:rsid w:val="008F1A19"/>
    <w:rsid w:val="008F1C35"/>
    <w:rsid w:val="008F1CF9"/>
    <w:rsid w:val="008F1D4D"/>
    <w:rsid w:val="008F1EAB"/>
    <w:rsid w:val="008F203D"/>
    <w:rsid w:val="008F32C3"/>
    <w:rsid w:val="008F33DC"/>
    <w:rsid w:val="008F3989"/>
    <w:rsid w:val="008F3DA0"/>
    <w:rsid w:val="008F477F"/>
    <w:rsid w:val="008F681B"/>
    <w:rsid w:val="008F6925"/>
    <w:rsid w:val="008F6FD2"/>
    <w:rsid w:val="009001A6"/>
    <w:rsid w:val="00900801"/>
    <w:rsid w:val="00900A3D"/>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5A0F"/>
    <w:rsid w:val="00905DB5"/>
    <w:rsid w:val="00906939"/>
    <w:rsid w:val="009069F6"/>
    <w:rsid w:val="009075DE"/>
    <w:rsid w:val="0091019E"/>
    <w:rsid w:val="009101AD"/>
    <w:rsid w:val="00910B7D"/>
    <w:rsid w:val="00911503"/>
    <w:rsid w:val="00911DFB"/>
    <w:rsid w:val="00912FDA"/>
    <w:rsid w:val="009137F9"/>
    <w:rsid w:val="009139D9"/>
    <w:rsid w:val="00914178"/>
    <w:rsid w:val="00914AD8"/>
    <w:rsid w:val="009154AA"/>
    <w:rsid w:val="00915975"/>
    <w:rsid w:val="00916079"/>
    <w:rsid w:val="00916569"/>
    <w:rsid w:val="0091692E"/>
    <w:rsid w:val="00917948"/>
    <w:rsid w:val="00917CE9"/>
    <w:rsid w:val="00920A5E"/>
    <w:rsid w:val="00920BF2"/>
    <w:rsid w:val="00920E7D"/>
    <w:rsid w:val="00920FEB"/>
    <w:rsid w:val="009213F7"/>
    <w:rsid w:val="009215F7"/>
    <w:rsid w:val="0092160C"/>
    <w:rsid w:val="00921C62"/>
    <w:rsid w:val="00922010"/>
    <w:rsid w:val="0092236B"/>
    <w:rsid w:val="00922796"/>
    <w:rsid w:val="00922B0A"/>
    <w:rsid w:val="00922B4B"/>
    <w:rsid w:val="00922B9C"/>
    <w:rsid w:val="00923105"/>
    <w:rsid w:val="009245BB"/>
    <w:rsid w:val="00925110"/>
    <w:rsid w:val="0092742A"/>
    <w:rsid w:val="009279D3"/>
    <w:rsid w:val="00927B3F"/>
    <w:rsid w:val="00930CCF"/>
    <w:rsid w:val="00930E68"/>
    <w:rsid w:val="00931148"/>
    <w:rsid w:val="00931AFB"/>
    <w:rsid w:val="00931BD9"/>
    <w:rsid w:val="00932D0C"/>
    <w:rsid w:val="009335EE"/>
    <w:rsid w:val="009336BF"/>
    <w:rsid w:val="00933CC1"/>
    <w:rsid w:val="0093608D"/>
    <w:rsid w:val="00936731"/>
    <w:rsid w:val="009368F3"/>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47DC7"/>
    <w:rsid w:val="00950BC2"/>
    <w:rsid w:val="00950DE7"/>
    <w:rsid w:val="00951151"/>
    <w:rsid w:val="0095209A"/>
    <w:rsid w:val="0095226F"/>
    <w:rsid w:val="00952F71"/>
    <w:rsid w:val="009533E3"/>
    <w:rsid w:val="00953454"/>
    <w:rsid w:val="00953920"/>
    <w:rsid w:val="00953D47"/>
    <w:rsid w:val="0095403A"/>
    <w:rsid w:val="00954A30"/>
    <w:rsid w:val="00954F4F"/>
    <w:rsid w:val="00955171"/>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30A"/>
    <w:rsid w:val="0096554B"/>
    <w:rsid w:val="0096584A"/>
    <w:rsid w:val="0096613F"/>
    <w:rsid w:val="0096628C"/>
    <w:rsid w:val="00966980"/>
    <w:rsid w:val="00966B20"/>
    <w:rsid w:val="00966FD1"/>
    <w:rsid w:val="00966FDF"/>
    <w:rsid w:val="0096725B"/>
    <w:rsid w:val="0096741E"/>
    <w:rsid w:val="00967F33"/>
    <w:rsid w:val="009706AD"/>
    <w:rsid w:val="00970E55"/>
    <w:rsid w:val="0097130C"/>
    <w:rsid w:val="00971F08"/>
    <w:rsid w:val="00974723"/>
    <w:rsid w:val="00974CFE"/>
    <w:rsid w:val="00974F23"/>
    <w:rsid w:val="009759C5"/>
    <w:rsid w:val="00975F00"/>
    <w:rsid w:val="0097602E"/>
    <w:rsid w:val="0097603D"/>
    <w:rsid w:val="00976219"/>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714"/>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2F9B"/>
    <w:rsid w:val="009B3AC2"/>
    <w:rsid w:val="009B43DF"/>
    <w:rsid w:val="009B4B70"/>
    <w:rsid w:val="009B4DF4"/>
    <w:rsid w:val="009B511E"/>
    <w:rsid w:val="009B5283"/>
    <w:rsid w:val="009B535B"/>
    <w:rsid w:val="009B564E"/>
    <w:rsid w:val="009B655E"/>
    <w:rsid w:val="009B7016"/>
    <w:rsid w:val="009B7276"/>
    <w:rsid w:val="009B7392"/>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710"/>
    <w:rsid w:val="009D66B1"/>
    <w:rsid w:val="009D671A"/>
    <w:rsid w:val="009D6879"/>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9A6"/>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B30"/>
    <w:rsid w:val="00A04F49"/>
    <w:rsid w:val="00A0510F"/>
    <w:rsid w:val="00A05340"/>
    <w:rsid w:val="00A0635D"/>
    <w:rsid w:val="00A0642B"/>
    <w:rsid w:val="00A0672A"/>
    <w:rsid w:val="00A06CD3"/>
    <w:rsid w:val="00A06FA2"/>
    <w:rsid w:val="00A1006C"/>
    <w:rsid w:val="00A1051C"/>
    <w:rsid w:val="00A1094B"/>
    <w:rsid w:val="00A10999"/>
    <w:rsid w:val="00A113F6"/>
    <w:rsid w:val="00A11AE0"/>
    <w:rsid w:val="00A125BE"/>
    <w:rsid w:val="00A12C38"/>
    <w:rsid w:val="00A13036"/>
    <w:rsid w:val="00A1322D"/>
    <w:rsid w:val="00A13E54"/>
    <w:rsid w:val="00A14582"/>
    <w:rsid w:val="00A14B72"/>
    <w:rsid w:val="00A14F4E"/>
    <w:rsid w:val="00A15C12"/>
    <w:rsid w:val="00A1673D"/>
    <w:rsid w:val="00A16AF3"/>
    <w:rsid w:val="00A16CCA"/>
    <w:rsid w:val="00A171D3"/>
    <w:rsid w:val="00A17DBB"/>
    <w:rsid w:val="00A17EBF"/>
    <w:rsid w:val="00A17F63"/>
    <w:rsid w:val="00A20373"/>
    <w:rsid w:val="00A20379"/>
    <w:rsid w:val="00A204CE"/>
    <w:rsid w:val="00A20E07"/>
    <w:rsid w:val="00A2193B"/>
    <w:rsid w:val="00A2279A"/>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47"/>
    <w:rsid w:val="00A45C97"/>
    <w:rsid w:val="00A46283"/>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60896"/>
    <w:rsid w:val="00A60A4C"/>
    <w:rsid w:val="00A60B8E"/>
    <w:rsid w:val="00A61499"/>
    <w:rsid w:val="00A614AE"/>
    <w:rsid w:val="00A621F0"/>
    <w:rsid w:val="00A623AD"/>
    <w:rsid w:val="00A62561"/>
    <w:rsid w:val="00A62A77"/>
    <w:rsid w:val="00A62A8F"/>
    <w:rsid w:val="00A62DD4"/>
    <w:rsid w:val="00A63483"/>
    <w:rsid w:val="00A634A9"/>
    <w:rsid w:val="00A63BEA"/>
    <w:rsid w:val="00A644CA"/>
    <w:rsid w:val="00A64A69"/>
    <w:rsid w:val="00A65263"/>
    <w:rsid w:val="00A6529E"/>
    <w:rsid w:val="00A657D7"/>
    <w:rsid w:val="00A65CB5"/>
    <w:rsid w:val="00A65CE1"/>
    <w:rsid w:val="00A65E06"/>
    <w:rsid w:val="00A65FB8"/>
    <w:rsid w:val="00A660AC"/>
    <w:rsid w:val="00A6687C"/>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42B3"/>
    <w:rsid w:val="00A85075"/>
    <w:rsid w:val="00A85AAC"/>
    <w:rsid w:val="00A862D4"/>
    <w:rsid w:val="00A87013"/>
    <w:rsid w:val="00A87256"/>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4D"/>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8C0"/>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14A5"/>
    <w:rsid w:val="00AD20C4"/>
    <w:rsid w:val="00AD236B"/>
    <w:rsid w:val="00AD2894"/>
    <w:rsid w:val="00AD2C54"/>
    <w:rsid w:val="00AD30AA"/>
    <w:rsid w:val="00AD3246"/>
    <w:rsid w:val="00AD3F94"/>
    <w:rsid w:val="00AD4A5A"/>
    <w:rsid w:val="00AD5152"/>
    <w:rsid w:val="00AD51ED"/>
    <w:rsid w:val="00AD58C1"/>
    <w:rsid w:val="00AD59E2"/>
    <w:rsid w:val="00AD5F22"/>
    <w:rsid w:val="00AD62BC"/>
    <w:rsid w:val="00AD6629"/>
    <w:rsid w:val="00AD690B"/>
    <w:rsid w:val="00AD6EDB"/>
    <w:rsid w:val="00AD71EA"/>
    <w:rsid w:val="00AD7C33"/>
    <w:rsid w:val="00AD7C52"/>
    <w:rsid w:val="00AE0470"/>
    <w:rsid w:val="00AE07E6"/>
    <w:rsid w:val="00AE098D"/>
    <w:rsid w:val="00AE0B14"/>
    <w:rsid w:val="00AE0C21"/>
    <w:rsid w:val="00AE23EE"/>
    <w:rsid w:val="00AE2540"/>
    <w:rsid w:val="00AE27AC"/>
    <w:rsid w:val="00AE33F2"/>
    <w:rsid w:val="00AE384C"/>
    <w:rsid w:val="00AE3981"/>
    <w:rsid w:val="00AE3BE3"/>
    <w:rsid w:val="00AE3CC3"/>
    <w:rsid w:val="00AE3D6E"/>
    <w:rsid w:val="00AE3E93"/>
    <w:rsid w:val="00AE40E0"/>
    <w:rsid w:val="00AE4D2F"/>
    <w:rsid w:val="00AE4DBA"/>
    <w:rsid w:val="00AE4F07"/>
    <w:rsid w:val="00AE57B5"/>
    <w:rsid w:val="00AE6E02"/>
    <w:rsid w:val="00AE743A"/>
    <w:rsid w:val="00AF08CA"/>
    <w:rsid w:val="00AF0C4B"/>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2E9"/>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3E4"/>
    <w:rsid w:val="00B24A9A"/>
    <w:rsid w:val="00B25210"/>
    <w:rsid w:val="00B26067"/>
    <w:rsid w:val="00B26252"/>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DCB"/>
    <w:rsid w:val="00B4332C"/>
    <w:rsid w:val="00B44118"/>
    <w:rsid w:val="00B446E9"/>
    <w:rsid w:val="00B44A91"/>
    <w:rsid w:val="00B44AF6"/>
    <w:rsid w:val="00B44C74"/>
    <w:rsid w:val="00B45A52"/>
    <w:rsid w:val="00B45AF9"/>
    <w:rsid w:val="00B45B04"/>
    <w:rsid w:val="00B46175"/>
    <w:rsid w:val="00B4670C"/>
    <w:rsid w:val="00B46AD4"/>
    <w:rsid w:val="00B46E76"/>
    <w:rsid w:val="00B47BEE"/>
    <w:rsid w:val="00B47CE7"/>
    <w:rsid w:val="00B47EDA"/>
    <w:rsid w:val="00B50B57"/>
    <w:rsid w:val="00B50C4B"/>
    <w:rsid w:val="00B512A2"/>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C17"/>
    <w:rsid w:val="00B64157"/>
    <w:rsid w:val="00B64259"/>
    <w:rsid w:val="00B6553E"/>
    <w:rsid w:val="00B658B9"/>
    <w:rsid w:val="00B659B0"/>
    <w:rsid w:val="00B659E4"/>
    <w:rsid w:val="00B660C2"/>
    <w:rsid w:val="00B66345"/>
    <w:rsid w:val="00B663FC"/>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A25"/>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D2E"/>
    <w:rsid w:val="00BC57B1"/>
    <w:rsid w:val="00BC5D1C"/>
    <w:rsid w:val="00BC61E4"/>
    <w:rsid w:val="00BC6A41"/>
    <w:rsid w:val="00BC6BB5"/>
    <w:rsid w:val="00BC6BC1"/>
    <w:rsid w:val="00BC7044"/>
    <w:rsid w:val="00BD1169"/>
    <w:rsid w:val="00BD1823"/>
    <w:rsid w:val="00BD18B8"/>
    <w:rsid w:val="00BD1AA5"/>
    <w:rsid w:val="00BD27AF"/>
    <w:rsid w:val="00BD303D"/>
    <w:rsid w:val="00BD48AC"/>
    <w:rsid w:val="00BD4CDD"/>
    <w:rsid w:val="00BD4FA5"/>
    <w:rsid w:val="00BD55BF"/>
    <w:rsid w:val="00BD5F1A"/>
    <w:rsid w:val="00BD619F"/>
    <w:rsid w:val="00BD6D53"/>
    <w:rsid w:val="00BD721C"/>
    <w:rsid w:val="00BD724D"/>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14D9"/>
    <w:rsid w:val="00C330FF"/>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4ED"/>
    <w:rsid w:val="00C42720"/>
    <w:rsid w:val="00C42C69"/>
    <w:rsid w:val="00C42C71"/>
    <w:rsid w:val="00C42D49"/>
    <w:rsid w:val="00C42D85"/>
    <w:rsid w:val="00C42DF8"/>
    <w:rsid w:val="00C433AE"/>
    <w:rsid w:val="00C43A9B"/>
    <w:rsid w:val="00C44448"/>
    <w:rsid w:val="00C44547"/>
    <w:rsid w:val="00C44568"/>
    <w:rsid w:val="00C44A84"/>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648"/>
    <w:rsid w:val="00C53871"/>
    <w:rsid w:val="00C53ABB"/>
    <w:rsid w:val="00C54995"/>
    <w:rsid w:val="00C54D41"/>
    <w:rsid w:val="00C5517F"/>
    <w:rsid w:val="00C5572E"/>
    <w:rsid w:val="00C55CFC"/>
    <w:rsid w:val="00C57D72"/>
    <w:rsid w:val="00C57EF3"/>
    <w:rsid w:val="00C60298"/>
    <w:rsid w:val="00C603E2"/>
    <w:rsid w:val="00C60783"/>
    <w:rsid w:val="00C609B6"/>
    <w:rsid w:val="00C60B86"/>
    <w:rsid w:val="00C613C5"/>
    <w:rsid w:val="00C6151A"/>
    <w:rsid w:val="00C61773"/>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CEF"/>
    <w:rsid w:val="00C84847"/>
    <w:rsid w:val="00C84CA9"/>
    <w:rsid w:val="00C85147"/>
    <w:rsid w:val="00C85617"/>
    <w:rsid w:val="00C8580F"/>
    <w:rsid w:val="00C8723E"/>
    <w:rsid w:val="00C873BE"/>
    <w:rsid w:val="00C87994"/>
    <w:rsid w:val="00C87996"/>
    <w:rsid w:val="00C87AA7"/>
    <w:rsid w:val="00C87C9A"/>
    <w:rsid w:val="00C90158"/>
    <w:rsid w:val="00C90216"/>
    <w:rsid w:val="00C9027A"/>
    <w:rsid w:val="00C904B3"/>
    <w:rsid w:val="00C9068E"/>
    <w:rsid w:val="00C90D9C"/>
    <w:rsid w:val="00C910C3"/>
    <w:rsid w:val="00C912B0"/>
    <w:rsid w:val="00C9136A"/>
    <w:rsid w:val="00C9182E"/>
    <w:rsid w:val="00C91F7D"/>
    <w:rsid w:val="00C91FCB"/>
    <w:rsid w:val="00C93196"/>
    <w:rsid w:val="00C93B42"/>
    <w:rsid w:val="00C93C4B"/>
    <w:rsid w:val="00C944AB"/>
    <w:rsid w:val="00C953CF"/>
    <w:rsid w:val="00C95B40"/>
    <w:rsid w:val="00C96D0C"/>
    <w:rsid w:val="00C9740C"/>
    <w:rsid w:val="00C97482"/>
    <w:rsid w:val="00C976AD"/>
    <w:rsid w:val="00C977D6"/>
    <w:rsid w:val="00C97924"/>
    <w:rsid w:val="00CA0487"/>
    <w:rsid w:val="00CA04B9"/>
    <w:rsid w:val="00CA0EBA"/>
    <w:rsid w:val="00CA1057"/>
    <w:rsid w:val="00CA1ED8"/>
    <w:rsid w:val="00CA29A8"/>
    <w:rsid w:val="00CA2BF4"/>
    <w:rsid w:val="00CA2D35"/>
    <w:rsid w:val="00CA331B"/>
    <w:rsid w:val="00CA3474"/>
    <w:rsid w:val="00CA34C1"/>
    <w:rsid w:val="00CA40BE"/>
    <w:rsid w:val="00CA4300"/>
    <w:rsid w:val="00CA44F4"/>
    <w:rsid w:val="00CA5093"/>
    <w:rsid w:val="00CA5F74"/>
    <w:rsid w:val="00CA62A6"/>
    <w:rsid w:val="00CA671E"/>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48"/>
    <w:rsid w:val="00CB7170"/>
    <w:rsid w:val="00CB7876"/>
    <w:rsid w:val="00CB7F94"/>
    <w:rsid w:val="00CC0239"/>
    <w:rsid w:val="00CC040E"/>
    <w:rsid w:val="00CC0A45"/>
    <w:rsid w:val="00CC111F"/>
    <w:rsid w:val="00CC136E"/>
    <w:rsid w:val="00CC16FC"/>
    <w:rsid w:val="00CC19B5"/>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C7DFB"/>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398"/>
    <w:rsid w:val="00CD3412"/>
    <w:rsid w:val="00CD4074"/>
    <w:rsid w:val="00CD424E"/>
    <w:rsid w:val="00CD5342"/>
    <w:rsid w:val="00CD5555"/>
    <w:rsid w:val="00CD7877"/>
    <w:rsid w:val="00CD78AE"/>
    <w:rsid w:val="00CE01FB"/>
    <w:rsid w:val="00CE0424"/>
    <w:rsid w:val="00CE1124"/>
    <w:rsid w:val="00CE182B"/>
    <w:rsid w:val="00CE2255"/>
    <w:rsid w:val="00CE225F"/>
    <w:rsid w:val="00CE24E1"/>
    <w:rsid w:val="00CE2651"/>
    <w:rsid w:val="00CE2852"/>
    <w:rsid w:val="00CE2883"/>
    <w:rsid w:val="00CE2A8A"/>
    <w:rsid w:val="00CE5519"/>
    <w:rsid w:val="00CE56D0"/>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293F"/>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FB8"/>
    <w:rsid w:val="00D12695"/>
    <w:rsid w:val="00D12FC6"/>
    <w:rsid w:val="00D13135"/>
    <w:rsid w:val="00D13297"/>
    <w:rsid w:val="00D13310"/>
    <w:rsid w:val="00D13325"/>
    <w:rsid w:val="00D13C81"/>
    <w:rsid w:val="00D13E4E"/>
    <w:rsid w:val="00D14A4E"/>
    <w:rsid w:val="00D15AAD"/>
    <w:rsid w:val="00D15C86"/>
    <w:rsid w:val="00D15D01"/>
    <w:rsid w:val="00D161D8"/>
    <w:rsid w:val="00D163EA"/>
    <w:rsid w:val="00D165B8"/>
    <w:rsid w:val="00D17CE4"/>
    <w:rsid w:val="00D2006E"/>
    <w:rsid w:val="00D20BB9"/>
    <w:rsid w:val="00D21672"/>
    <w:rsid w:val="00D2277F"/>
    <w:rsid w:val="00D239A7"/>
    <w:rsid w:val="00D23BE5"/>
    <w:rsid w:val="00D23F47"/>
    <w:rsid w:val="00D242E0"/>
    <w:rsid w:val="00D24951"/>
    <w:rsid w:val="00D24D30"/>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5EC4"/>
    <w:rsid w:val="00D361C0"/>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4A85"/>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4F4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5B5A"/>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1D"/>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A41"/>
    <w:rsid w:val="00DC087B"/>
    <w:rsid w:val="00DC0BC3"/>
    <w:rsid w:val="00DC0D4D"/>
    <w:rsid w:val="00DC13A2"/>
    <w:rsid w:val="00DC18D2"/>
    <w:rsid w:val="00DC2D36"/>
    <w:rsid w:val="00DC2F9A"/>
    <w:rsid w:val="00DC3047"/>
    <w:rsid w:val="00DC3425"/>
    <w:rsid w:val="00DC34AD"/>
    <w:rsid w:val="00DC36D1"/>
    <w:rsid w:val="00DC4046"/>
    <w:rsid w:val="00DC53EF"/>
    <w:rsid w:val="00DC6486"/>
    <w:rsid w:val="00DC69C5"/>
    <w:rsid w:val="00DC781C"/>
    <w:rsid w:val="00DC7AAD"/>
    <w:rsid w:val="00DC7E2E"/>
    <w:rsid w:val="00DD0200"/>
    <w:rsid w:val="00DD0A3C"/>
    <w:rsid w:val="00DD0CCA"/>
    <w:rsid w:val="00DD1174"/>
    <w:rsid w:val="00DD162C"/>
    <w:rsid w:val="00DD18FF"/>
    <w:rsid w:val="00DD3EE3"/>
    <w:rsid w:val="00DD4536"/>
    <w:rsid w:val="00DD5CE4"/>
    <w:rsid w:val="00DD5FC9"/>
    <w:rsid w:val="00DD5FD0"/>
    <w:rsid w:val="00DD60DE"/>
    <w:rsid w:val="00DD6A8C"/>
    <w:rsid w:val="00DD6C37"/>
    <w:rsid w:val="00DD72B0"/>
    <w:rsid w:val="00DD75E2"/>
    <w:rsid w:val="00DD7A99"/>
    <w:rsid w:val="00DD7DCF"/>
    <w:rsid w:val="00DE06D0"/>
    <w:rsid w:val="00DE127F"/>
    <w:rsid w:val="00DE16A2"/>
    <w:rsid w:val="00DE1825"/>
    <w:rsid w:val="00DE1ADF"/>
    <w:rsid w:val="00DE27DD"/>
    <w:rsid w:val="00DE2A6E"/>
    <w:rsid w:val="00DE301C"/>
    <w:rsid w:val="00DE30BE"/>
    <w:rsid w:val="00DE3171"/>
    <w:rsid w:val="00DE320C"/>
    <w:rsid w:val="00DE356B"/>
    <w:rsid w:val="00DE36FF"/>
    <w:rsid w:val="00DE4100"/>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A42"/>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07D"/>
    <w:rsid w:val="00E17720"/>
    <w:rsid w:val="00E17FA2"/>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41"/>
    <w:rsid w:val="00E25353"/>
    <w:rsid w:val="00E25AE6"/>
    <w:rsid w:val="00E30692"/>
    <w:rsid w:val="00E30B5A"/>
    <w:rsid w:val="00E310AA"/>
    <w:rsid w:val="00E3123D"/>
    <w:rsid w:val="00E31461"/>
    <w:rsid w:val="00E31D43"/>
    <w:rsid w:val="00E32189"/>
    <w:rsid w:val="00E32608"/>
    <w:rsid w:val="00E32950"/>
    <w:rsid w:val="00E33156"/>
    <w:rsid w:val="00E338D6"/>
    <w:rsid w:val="00E33CDD"/>
    <w:rsid w:val="00E34188"/>
    <w:rsid w:val="00E345CD"/>
    <w:rsid w:val="00E34B6E"/>
    <w:rsid w:val="00E35559"/>
    <w:rsid w:val="00E359C0"/>
    <w:rsid w:val="00E35EF6"/>
    <w:rsid w:val="00E36411"/>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78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2EFC"/>
    <w:rsid w:val="00E73DC7"/>
    <w:rsid w:val="00E74859"/>
    <w:rsid w:val="00E758EC"/>
    <w:rsid w:val="00E75FF8"/>
    <w:rsid w:val="00E76551"/>
    <w:rsid w:val="00E7665F"/>
    <w:rsid w:val="00E76ACC"/>
    <w:rsid w:val="00E77071"/>
    <w:rsid w:val="00E777F9"/>
    <w:rsid w:val="00E77A36"/>
    <w:rsid w:val="00E77D23"/>
    <w:rsid w:val="00E77E85"/>
    <w:rsid w:val="00E77EFF"/>
    <w:rsid w:val="00E77FAB"/>
    <w:rsid w:val="00E800C3"/>
    <w:rsid w:val="00E8188E"/>
    <w:rsid w:val="00E82310"/>
    <w:rsid w:val="00E8234C"/>
    <w:rsid w:val="00E82420"/>
    <w:rsid w:val="00E82FEE"/>
    <w:rsid w:val="00E8304E"/>
    <w:rsid w:val="00E831A8"/>
    <w:rsid w:val="00E83383"/>
    <w:rsid w:val="00E83AA9"/>
    <w:rsid w:val="00E84439"/>
    <w:rsid w:val="00E84B69"/>
    <w:rsid w:val="00E84D30"/>
    <w:rsid w:val="00E85241"/>
    <w:rsid w:val="00E85928"/>
    <w:rsid w:val="00E85D48"/>
    <w:rsid w:val="00E85DDF"/>
    <w:rsid w:val="00E85F08"/>
    <w:rsid w:val="00E85F0B"/>
    <w:rsid w:val="00E8706E"/>
    <w:rsid w:val="00E873A2"/>
    <w:rsid w:val="00E874C5"/>
    <w:rsid w:val="00E876B4"/>
    <w:rsid w:val="00E87822"/>
    <w:rsid w:val="00E87F70"/>
    <w:rsid w:val="00E90395"/>
    <w:rsid w:val="00E90B43"/>
    <w:rsid w:val="00E90CF4"/>
    <w:rsid w:val="00E90E49"/>
    <w:rsid w:val="00E917F9"/>
    <w:rsid w:val="00E9291C"/>
    <w:rsid w:val="00E93F05"/>
    <w:rsid w:val="00E93FCE"/>
    <w:rsid w:val="00E93FFE"/>
    <w:rsid w:val="00E942F4"/>
    <w:rsid w:val="00E94A2C"/>
    <w:rsid w:val="00E94F33"/>
    <w:rsid w:val="00E94F8A"/>
    <w:rsid w:val="00E95A7C"/>
    <w:rsid w:val="00E95E44"/>
    <w:rsid w:val="00E96798"/>
    <w:rsid w:val="00E96F75"/>
    <w:rsid w:val="00E973BC"/>
    <w:rsid w:val="00E97F7A"/>
    <w:rsid w:val="00EA061C"/>
    <w:rsid w:val="00EA06ED"/>
    <w:rsid w:val="00EA17BD"/>
    <w:rsid w:val="00EA1A85"/>
    <w:rsid w:val="00EA1BFA"/>
    <w:rsid w:val="00EA1CA1"/>
    <w:rsid w:val="00EA20DE"/>
    <w:rsid w:val="00EA26A9"/>
    <w:rsid w:val="00EA2CF1"/>
    <w:rsid w:val="00EA2D2E"/>
    <w:rsid w:val="00EA4483"/>
    <w:rsid w:val="00EA45ED"/>
    <w:rsid w:val="00EA5AA7"/>
    <w:rsid w:val="00EA6A36"/>
    <w:rsid w:val="00EA7056"/>
    <w:rsid w:val="00EA70B1"/>
    <w:rsid w:val="00EA79D5"/>
    <w:rsid w:val="00EA7A41"/>
    <w:rsid w:val="00EA7F97"/>
    <w:rsid w:val="00EB046F"/>
    <w:rsid w:val="00EB077B"/>
    <w:rsid w:val="00EB21E2"/>
    <w:rsid w:val="00EB22DA"/>
    <w:rsid w:val="00EB3645"/>
    <w:rsid w:val="00EB387F"/>
    <w:rsid w:val="00EB3AFC"/>
    <w:rsid w:val="00EB3BA7"/>
    <w:rsid w:val="00EB3C74"/>
    <w:rsid w:val="00EB3DE6"/>
    <w:rsid w:val="00EB4791"/>
    <w:rsid w:val="00EB4C70"/>
    <w:rsid w:val="00EB4EA2"/>
    <w:rsid w:val="00EB5333"/>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0ECD"/>
    <w:rsid w:val="00EE1939"/>
    <w:rsid w:val="00EE2BB7"/>
    <w:rsid w:val="00EE3118"/>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577"/>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4A4"/>
    <w:rsid w:val="00F17658"/>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798"/>
    <w:rsid w:val="00F2688F"/>
    <w:rsid w:val="00F26E71"/>
    <w:rsid w:val="00F26FC8"/>
    <w:rsid w:val="00F30828"/>
    <w:rsid w:val="00F3108E"/>
    <w:rsid w:val="00F31148"/>
    <w:rsid w:val="00F313D6"/>
    <w:rsid w:val="00F326AF"/>
    <w:rsid w:val="00F32B20"/>
    <w:rsid w:val="00F33113"/>
    <w:rsid w:val="00F33BF6"/>
    <w:rsid w:val="00F33F60"/>
    <w:rsid w:val="00F3409A"/>
    <w:rsid w:val="00F3438E"/>
    <w:rsid w:val="00F35DFE"/>
    <w:rsid w:val="00F36D7E"/>
    <w:rsid w:val="00F374AB"/>
    <w:rsid w:val="00F374BD"/>
    <w:rsid w:val="00F37982"/>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5A84"/>
    <w:rsid w:val="00F46010"/>
    <w:rsid w:val="00F469C6"/>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E00"/>
    <w:rsid w:val="00F6302A"/>
    <w:rsid w:val="00F63055"/>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4BE"/>
    <w:rsid w:val="00F75582"/>
    <w:rsid w:val="00F75A72"/>
    <w:rsid w:val="00F75A7F"/>
    <w:rsid w:val="00F76271"/>
    <w:rsid w:val="00F76D2F"/>
    <w:rsid w:val="00F76EFA"/>
    <w:rsid w:val="00F773FB"/>
    <w:rsid w:val="00F8004C"/>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947"/>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2C81"/>
    <w:rsid w:val="00FA4A57"/>
    <w:rsid w:val="00FA4E8B"/>
    <w:rsid w:val="00FA4EEB"/>
    <w:rsid w:val="00FA5339"/>
    <w:rsid w:val="00FA547C"/>
    <w:rsid w:val="00FA585D"/>
    <w:rsid w:val="00FA6A7C"/>
    <w:rsid w:val="00FA797C"/>
    <w:rsid w:val="00FA7ABE"/>
    <w:rsid w:val="00FB0445"/>
    <w:rsid w:val="00FB0FBE"/>
    <w:rsid w:val="00FB1A04"/>
    <w:rsid w:val="00FB27C6"/>
    <w:rsid w:val="00FB2841"/>
    <w:rsid w:val="00FB2AC7"/>
    <w:rsid w:val="00FB2CD4"/>
    <w:rsid w:val="00FB3263"/>
    <w:rsid w:val="00FB330B"/>
    <w:rsid w:val="00FB4244"/>
    <w:rsid w:val="00FB4A15"/>
    <w:rsid w:val="00FB4C80"/>
    <w:rsid w:val="00FB524B"/>
    <w:rsid w:val="00FB52BA"/>
    <w:rsid w:val="00FB5433"/>
    <w:rsid w:val="00FB5559"/>
    <w:rsid w:val="00FB6A6A"/>
    <w:rsid w:val="00FB6AF7"/>
    <w:rsid w:val="00FB6CF1"/>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684C"/>
    <w:rsid w:val="00FC73CA"/>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6127"/>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70B"/>
    <w:rsid w:val="00FE58D1"/>
    <w:rsid w:val="00FE5CEC"/>
    <w:rsid w:val="00FE67F9"/>
    <w:rsid w:val="00FE6BDD"/>
    <w:rsid w:val="00FE7336"/>
    <w:rsid w:val="00FE787C"/>
    <w:rsid w:val="00FF0BB8"/>
    <w:rsid w:val="00FF0CE1"/>
    <w:rsid w:val="00FF10FD"/>
    <w:rsid w:val="00FF121F"/>
    <w:rsid w:val="00FF15F3"/>
    <w:rsid w:val="00FF3013"/>
    <w:rsid w:val="00FF303A"/>
    <w:rsid w:val="00FF45A5"/>
    <w:rsid w:val="00FF4A5C"/>
    <w:rsid w:val="00FF547E"/>
    <w:rsid w:val="00FF5517"/>
    <w:rsid w:val="00FF563C"/>
    <w:rsid w:val="00FF5C91"/>
    <w:rsid w:val="00FF5F49"/>
    <w:rsid w:val="00FF6C7B"/>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506329"/>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513A5F"/>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rsid w:val="00513A5F"/>
    <w:rPr>
      <w:rFonts w:ascii="Times New Roman" w:hAnsi="Times New Roman" w:cs="Batang"/>
      <w:lang w:val="en-GB" w:eastAsia="en-US"/>
    </w:rPr>
  </w:style>
  <w:style w:type="paragraph" w:customStyle="1" w:styleId="Doc-text2">
    <w:name w:val="Doc-text2"/>
    <w:basedOn w:val="Normal"/>
    <w:link w:val="Doc-text2Char"/>
    <w:qFormat/>
    <w:rsid w:val="005E72D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E72D9"/>
    <w:rPr>
      <w:rFonts w:ascii="Arial" w:eastAsia="MS Mincho" w:hAnsi="Arial"/>
      <w:szCs w:val="24"/>
      <w:lang w:val="en-GB" w:eastAsia="en-GB"/>
    </w:rPr>
  </w:style>
  <w:style w:type="paragraph" w:customStyle="1" w:styleId="Agreement">
    <w:name w:val="Agreement"/>
    <w:basedOn w:val="Normal"/>
    <w:next w:val="Normal"/>
    <w:qFormat/>
    <w:rsid w:val="005E72D9"/>
    <w:pPr>
      <w:numPr>
        <w:numId w:val="37"/>
      </w:numPr>
      <w:tabs>
        <w:tab w:val="num" w:pos="1800"/>
      </w:tabs>
      <w:spacing w:before="60"/>
      <w:ind w:left="1800"/>
    </w:pPr>
    <w:rPr>
      <w:rFonts w:ascii="Arial" w:eastAsia="MS Mincho" w:hAnsi="Arial"/>
      <w:b/>
      <w:sz w:val="20"/>
      <w:lang w:val="en-GB" w:eastAsia="en-GB"/>
    </w:rPr>
  </w:style>
  <w:style w:type="character" w:customStyle="1" w:styleId="THChar">
    <w:name w:val="TH Char"/>
    <w:link w:val="TH"/>
    <w:qFormat/>
    <w:rsid w:val="00D84F49"/>
    <w:rPr>
      <w:rFonts w:ascii="Times New Roman" w:hAnsi="Times New Roman"/>
      <w:b/>
      <w:sz w:val="24"/>
      <w:szCs w:val="24"/>
      <w:lang w:eastAsia="en-US"/>
    </w:rPr>
  </w:style>
  <w:style w:type="paragraph" w:styleId="ListNumber3">
    <w:name w:val="List Number 3"/>
    <w:basedOn w:val="Normal"/>
    <w:unhideWhenUsed/>
    <w:rsid w:val="00D84F49"/>
    <w:pPr>
      <w:numPr>
        <w:numId w:val="38"/>
      </w:numPr>
      <w:tabs>
        <w:tab w:val="num" w:pos="926"/>
      </w:tabs>
      <w:overflowPunct w:val="0"/>
      <w:autoSpaceDE w:val="0"/>
      <w:autoSpaceDN w:val="0"/>
      <w:adjustRightInd w:val="0"/>
      <w:spacing w:after="180"/>
      <w:ind w:left="926"/>
    </w:pPr>
    <w:rPr>
      <w:rFonts w:eastAsia="MS Mincho"/>
      <w:sz w:val="20"/>
      <w:szCs w:val="20"/>
      <w:lang w:val="en-GB" w:eastAsia="en-GB"/>
    </w:rPr>
  </w:style>
  <w:style w:type="paragraph" w:customStyle="1" w:styleId="CharCharCharCharChar">
    <w:name w:val="Char Char Char Char Char"/>
    <w:semiHidden/>
    <w:rsid w:val="00D84F49"/>
    <w:pPr>
      <w:keepNext/>
      <w:numPr>
        <w:numId w:val="39"/>
      </w:numPr>
      <w:autoSpaceDE w:val="0"/>
      <w:autoSpaceDN w:val="0"/>
      <w:adjustRightInd w:val="0"/>
      <w:spacing w:before="60" w:after="60"/>
      <w:jc w:val="both"/>
    </w:pPr>
    <w:rPr>
      <w:rFonts w:ascii="Arial" w:eastAsia="SimSun"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50858378">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439118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3290292">
      <w:bodyDiv w:val="1"/>
      <w:marLeft w:val="0"/>
      <w:marRight w:val="0"/>
      <w:marTop w:val="0"/>
      <w:marBottom w:val="0"/>
      <w:divBdr>
        <w:top w:val="none" w:sz="0" w:space="0" w:color="auto"/>
        <w:left w:val="none" w:sz="0" w:space="0" w:color="auto"/>
        <w:bottom w:val="none" w:sz="0" w:space="0" w:color="auto"/>
        <w:right w:val="none" w:sz="0" w:space="0" w:color="auto"/>
      </w:divBdr>
      <w:divsChild>
        <w:div w:id="827093643">
          <w:marLeft w:val="0"/>
          <w:marRight w:val="0"/>
          <w:marTop w:val="0"/>
          <w:marBottom w:val="0"/>
          <w:divBdr>
            <w:top w:val="none" w:sz="0" w:space="0" w:color="auto"/>
            <w:left w:val="none" w:sz="0" w:space="0" w:color="auto"/>
            <w:bottom w:val="none" w:sz="0" w:space="0" w:color="auto"/>
            <w:right w:val="none" w:sz="0" w:space="0" w:color="auto"/>
          </w:divBdr>
        </w:div>
        <w:div w:id="1566456028">
          <w:marLeft w:val="0"/>
          <w:marRight w:val="0"/>
          <w:marTop w:val="0"/>
          <w:marBottom w:val="0"/>
          <w:divBdr>
            <w:top w:val="none" w:sz="0" w:space="0" w:color="auto"/>
            <w:left w:val="none" w:sz="0" w:space="0" w:color="auto"/>
            <w:bottom w:val="none" w:sz="0" w:space="0" w:color="auto"/>
            <w:right w:val="none" w:sz="0" w:space="0" w:color="auto"/>
          </w:divBdr>
        </w:div>
        <w:div w:id="1888177274">
          <w:marLeft w:val="0"/>
          <w:marRight w:val="0"/>
          <w:marTop w:val="0"/>
          <w:marBottom w:val="0"/>
          <w:divBdr>
            <w:top w:val="none" w:sz="0" w:space="0" w:color="auto"/>
            <w:left w:val="none" w:sz="0" w:space="0" w:color="auto"/>
            <w:bottom w:val="none" w:sz="0" w:space="0" w:color="auto"/>
            <w:right w:val="none" w:sz="0" w:space="0" w:color="auto"/>
          </w:divBdr>
        </w:div>
        <w:div w:id="277181432">
          <w:marLeft w:val="0"/>
          <w:marRight w:val="0"/>
          <w:marTop w:val="0"/>
          <w:marBottom w:val="0"/>
          <w:divBdr>
            <w:top w:val="none" w:sz="0" w:space="0" w:color="auto"/>
            <w:left w:val="none" w:sz="0" w:space="0" w:color="auto"/>
            <w:bottom w:val="none" w:sz="0" w:space="0" w:color="auto"/>
            <w:right w:val="none" w:sz="0" w:space="0" w:color="auto"/>
          </w:divBdr>
        </w:div>
        <w:div w:id="233709631">
          <w:marLeft w:val="0"/>
          <w:marRight w:val="0"/>
          <w:marTop w:val="0"/>
          <w:marBottom w:val="0"/>
          <w:divBdr>
            <w:top w:val="none" w:sz="0" w:space="0" w:color="auto"/>
            <w:left w:val="none" w:sz="0" w:space="0" w:color="auto"/>
            <w:bottom w:val="none" w:sz="0" w:space="0" w:color="auto"/>
            <w:right w:val="none" w:sz="0" w:space="0" w:color="auto"/>
          </w:divBdr>
        </w:div>
        <w:div w:id="618419807">
          <w:marLeft w:val="0"/>
          <w:marRight w:val="0"/>
          <w:marTop w:val="0"/>
          <w:marBottom w:val="0"/>
          <w:divBdr>
            <w:top w:val="none" w:sz="0" w:space="0" w:color="auto"/>
            <w:left w:val="none" w:sz="0" w:space="0" w:color="auto"/>
            <w:bottom w:val="none" w:sz="0" w:space="0" w:color="auto"/>
            <w:right w:val="none" w:sz="0" w:space="0" w:color="auto"/>
          </w:divBdr>
        </w:div>
        <w:div w:id="753553838">
          <w:marLeft w:val="0"/>
          <w:marRight w:val="0"/>
          <w:marTop w:val="0"/>
          <w:marBottom w:val="0"/>
          <w:divBdr>
            <w:top w:val="none" w:sz="0" w:space="0" w:color="auto"/>
            <w:left w:val="none" w:sz="0" w:space="0" w:color="auto"/>
            <w:bottom w:val="none" w:sz="0" w:space="0" w:color="auto"/>
            <w:right w:val="none" w:sz="0" w:space="0" w:color="auto"/>
          </w:divBdr>
        </w:div>
        <w:div w:id="531572804">
          <w:marLeft w:val="0"/>
          <w:marRight w:val="0"/>
          <w:marTop w:val="0"/>
          <w:marBottom w:val="0"/>
          <w:divBdr>
            <w:top w:val="none" w:sz="0" w:space="0" w:color="auto"/>
            <w:left w:val="none" w:sz="0" w:space="0" w:color="auto"/>
            <w:bottom w:val="none" w:sz="0" w:space="0" w:color="auto"/>
            <w:right w:val="none" w:sz="0" w:space="0" w:color="auto"/>
          </w:divBdr>
        </w:div>
        <w:div w:id="1509708778">
          <w:marLeft w:val="0"/>
          <w:marRight w:val="0"/>
          <w:marTop w:val="0"/>
          <w:marBottom w:val="0"/>
          <w:divBdr>
            <w:top w:val="none" w:sz="0" w:space="0" w:color="auto"/>
            <w:left w:val="none" w:sz="0" w:space="0" w:color="auto"/>
            <w:bottom w:val="none" w:sz="0" w:space="0" w:color="auto"/>
            <w:right w:val="none" w:sz="0" w:space="0" w:color="auto"/>
          </w:divBdr>
        </w:div>
        <w:div w:id="1439374038">
          <w:marLeft w:val="0"/>
          <w:marRight w:val="0"/>
          <w:marTop w:val="0"/>
          <w:marBottom w:val="0"/>
          <w:divBdr>
            <w:top w:val="none" w:sz="0" w:space="0" w:color="auto"/>
            <w:left w:val="none" w:sz="0" w:space="0" w:color="auto"/>
            <w:bottom w:val="none" w:sz="0" w:space="0" w:color="auto"/>
            <w:right w:val="none" w:sz="0" w:space="0" w:color="auto"/>
          </w:divBdr>
        </w:div>
        <w:div w:id="352388812">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A010E-B4C2-C349-8201-D6FFDD13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246</TotalTime>
  <Pages>5</Pages>
  <Words>1743</Words>
  <Characters>9940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246</cp:revision>
  <cp:lastPrinted>2008-01-31T16:09:00Z</cp:lastPrinted>
  <dcterms:created xsi:type="dcterms:W3CDTF">2019-03-08T19:56:00Z</dcterms:created>
  <dcterms:modified xsi:type="dcterms:W3CDTF">2020-03-11T21:14:00Z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